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571"/>
      </w:tblGrid>
      <w:tr w:rsidR="00B52C93" w:rsidRPr="00B52C93" w:rsidTr="00B52C93">
        <w:trPr>
          <w:trHeight w:val="2494"/>
        </w:trPr>
        <w:tc>
          <w:tcPr>
            <w:tcW w:w="5000" w:type="pct"/>
          </w:tcPr>
          <w:p w:rsidR="00B52C93" w:rsidRPr="00B52C93" w:rsidRDefault="00B52C93" w:rsidP="00B52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2C93" w:rsidRPr="00B52C93" w:rsidRDefault="00B52C93" w:rsidP="00B52C93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B52C93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МИНИСТЕРСТВО СЕЛЬСКОГО ХОЗЯЙСТВА РОССИЙСКОЙ ФЕДЕРАЦИИ</w:t>
            </w:r>
          </w:p>
          <w:p w:rsidR="00B52C93" w:rsidRPr="00B52C93" w:rsidRDefault="00B52C93" w:rsidP="00B52C9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</w:pPr>
            <w:r w:rsidRPr="00B52C93"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  <w:t>Федеральное государственное бюджетное образовательное учреждение</w:t>
            </w:r>
          </w:p>
          <w:p w:rsidR="00B52C93" w:rsidRPr="00B52C93" w:rsidRDefault="00B52C93" w:rsidP="00B52C9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</w:pPr>
            <w:r w:rsidRPr="00B52C93"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  <w:t>высшего профессионального образования</w:t>
            </w:r>
          </w:p>
          <w:p w:rsidR="00B52C93" w:rsidRPr="00B52C93" w:rsidRDefault="00B52C93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 w:rsidRPr="00B52C93"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«КУБАНСКИЙ ГОСУДАРСТВЕННЫЙ АГРАРНЫЙ УНИВЕРСИТЕТ»</w:t>
            </w:r>
          </w:p>
          <w:p w:rsidR="00B52C93" w:rsidRPr="00B52C93" w:rsidRDefault="00B52C93" w:rsidP="00B52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2C93" w:rsidRPr="00B52C93" w:rsidRDefault="00B52C93" w:rsidP="00B52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2C93" w:rsidRPr="00B52C93" w:rsidRDefault="00B52C93" w:rsidP="00B52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2C93" w:rsidRPr="00B52C93" w:rsidRDefault="00B52C93" w:rsidP="00B52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2C93" w:rsidRPr="00B52C93" w:rsidRDefault="00B52C93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60"/>
                <w:w w:val="80"/>
                <w:sz w:val="36"/>
                <w:szCs w:val="36"/>
              </w:rPr>
            </w:pPr>
            <w:r w:rsidRPr="00B52C93">
              <w:rPr>
                <w:rFonts w:ascii="Times New Roman" w:eastAsia="Calibri" w:hAnsi="Times New Roman" w:cs="Times New Roman"/>
                <w:b/>
                <w:spacing w:val="60"/>
                <w:w w:val="80"/>
                <w:sz w:val="36"/>
                <w:szCs w:val="36"/>
              </w:rPr>
              <w:t>МЕТОДИЧЕСКИЕ</w:t>
            </w:r>
            <w:r w:rsidRPr="00B52C93">
              <w:rPr>
                <w:rFonts w:ascii="Times New Roman" w:eastAsia="Calibri" w:hAnsi="Times New Roman" w:cs="Times New Roman"/>
                <w:b/>
                <w:spacing w:val="60"/>
                <w:w w:val="80"/>
                <w:sz w:val="36"/>
                <w:szCs w:val="36"/>
              </w:rPr>
              <w:br/>
              <w:t>УКАЗАНИЯ</w:t>
            </w:r>
          </w:p>
          <w:p w:rsidR="00B52C93" w:rsidRPr="00B52C93" w:rsidRDefault="00B52C93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60"/>
                <w:sz w:val="60"/>
                <w:szCs w:val="60"/>
              </w:rPr>
            </w:pPr>
            <w:r w:rsidRPr="00B52C93">
              <w:rPr>
                <w:rFonts w:ascii="Times New Roman" w:eastAsia="Calibri" w:hAnsi="Times New Roman" w:cs="Times New Roman"/>
                <w:b/>
                <w:spacing w:val="60"/>
                <w:w w:val="80"/>
                <w:sz w:val="36"/>
                <w:szCs w:val="36"/>
              </w:rPr>
              <w:t>ПО ПРОВЕДЕНИЮ ПРАКТИЧЕСКИХ ЗАНЯТИЙ</w:t>
            </w:r>
          </w:p>
        </w:tc>
      </w:tr>
      <w:tr w:rsidR="00B52C93" w:rsidRPr="00B52C93" w:rsidTr="00B52C93">
        <w:tc>
          <w:tcPr>
            <w:tcW w:w="5000" w:type="pct"/>
          </w:tcPr>
          <w:p w:rsidR="00B52C93" w:rsidRPr="00B52C93" w:rsidRDefault="00B52C93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C93">
              <w:rPr>
                <w:rFonts w:ascii="Times New Roman" w:eastAsia="Calibri" w:hAnsi="Times New Roman" w:cs="Times New Roman"/>
                <w:sz w:val="28"/>
                <w:szCs w:val="28"/>
              </w:rPr>
              <w:t>по дисциплине (модулю)</w:t>
            </w:r>
          </w:p>
        </w:tc>
      </w:tr>
      <w:tr w:rsidR="00B52C93" w:rsidRPr="00B52C93" w:rsidTr="00B52C93">
        <w:tc>
          <w:tcPr>
            <w:tcW w:w="5000" w:type="pct"/>
          </w:tcPr>
          <w:p w:rsidR="00B52C93" w:rsidRPr="00B52C93" w:rsidRDefault="00CB31D1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Б1.В.ДВ.2</w:t>
            </w:r>
            <w:r w:rsidR="00D942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</w:t>
            </w:r>
            <w:r w:rsidRPr="00CB31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«Экологическое почвоведение»</w:t>
            </w:r>
          </w:p>
        </w:tc>
      </w:tr>
      <w:tr w:rsidR="00B52C93" w:rsidRPr="00B52C93" w:rsidTr="00B52C93">
        <w:tc>
          <w:tcPr>
            <w:tcW w:w="5000" w:type="pct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4A0"/>
            </w:tblPr>
            <w:tblGrid>
              <w:gridCol w:w="8029"/>
            </w:tblGrid>
            <w:tr w:rsidR="00B52C93" w:rsidRPr="00B52C93" w:rsidTr="0073613F">
              <w:trPr>
                <w:jc w:val="center"/>
              </w:trPr>
              <w:tc>
                <w:tcPr>
                  <w:tcW w:w="8029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8029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sz w:val="20"/>
                      <w:szCs w:val="20"/>
                    </w:rPr>
                  </w:pPr>
                </w:p>
              </w:tc>
            </w:tr>
          </w:tbl>
          <w:p w:rsidR="00B52C93" w:rsidRPr="00B52C93" w:rsidRDefault="00B52C93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52C93" w:rsidRPr="00B52C93" w:rsidTr="00B52C93">
        <w:tc>
          <w:tcPr>
            <w:tcW w:w="5000" w:type="pct"/>
          </w:tcPr>
          <w:p w:rsidR="00B52C93" w:rsidRPr="00B52C93" w:rsidRDefault="00B52C93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52C93" w:rsidRPr="00B52C93" w:rsidTr="00B52C93">
        <w:tc>
          <w:tcPr>
            <w:tcW w:w="5000" w:type="pct"/>
          </w:tcPr>
          <w:tbl>
            <w:tblPr>
              <w:tblW w:w="0" w:type="auto"/>
              <w:jc w:val="center"/>
              <w:tblLook w:val="04A0"/>
            </w:tblPr>
            <w:tblGrid>
              <w:gridCol w:w="4940"/>
              <w:gridCol w:w="283"/>
              <w:gridCol w:w="3236"/>
            </w:tblGrid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Код и направление </w:t>
                  </w:r>
                </w:p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подготовки</w:t>
                  </w: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B52C93" w:rsidRPr="00B52C93" w:rsidRDefault="005457CE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35</w:t>
                  </w:r>
                  <w:r w:rsidR="00B52C93"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.06.01 – </w:t>
                  </w:r>
                  <w:r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Сельское хозяйство</w:t>
                  </w: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Наименование профиля / </w:t>
                  </w:r>
                  <w:r w:rsidRPr="00B52C93">
                    <w:rPr>
                      <w:rFonts w:ascii="Times New Roman" w:eastAsia="Calibri" w:hAnsi="Times New Roman" w:cs="Courier New"/>
                      <w:bCs/>
                      <w:color w:val="000000"/>
                      <w:sz w:val="28"/>
                      <w:szCs w:val="28"/>
                    </w:rPr>
                    <w:t>программы подготовки научно-педагогических кадров в аспирантуре/</w:t>
                  </w: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магистерской программы / специализация</w:t>
                  </w: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B52C93" w:rsidRPr="00B52C93" w:rsidRDefault="005457CE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Агрофизика</w:t>
                  </w: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Квалификация </w:t>
                  </w:r>
                </w:p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(степень) выпускника</w:t>
                  </w: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Исследователь. Преподаватель-исследователь</w:t>
                  </w:r>
                </w:p>
              </w:tc>
            </w:tr>
            <w:tr w:rsidR="00B52C93" w:rsidRPr="00B52C93" w:rsidTr="0073613F">
              <w:trPr>
                <w:trHeight w:val="465"/>
                <w:jc w:val="center"/>
              </w:trPr>
              <w:tc>
                <w:tcPr>
                  <w:tcW w:w="4940" w:type="dxa"/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Факультет</w:t>
                  </w: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Агрохимии и                    почвоведения</w:t>
                  </w: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Кафедра – разработчик</w:t>
                  </w: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Почвоведения</w:t>
                  </w: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Ведущий преподаватель </w:t>
                  </w: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Слюсарев </w:t>
                  </w:r>
                </w:p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Валерий Никифорович</w:t>
                  </w: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B52C93" w:rsidRPr="00B52C93" w:rsidRDefault="00B52C93" w:rsidP="00B52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52C93" w:rsidRPr="00B52C93" w:rsidTr="00B52C93">
        <w:trPr>
          <w:trHeight w:val="66"/>
        </w:trPr>
        <w:tc>
          <w:tcPr>
            <w:tcW w:w="5000" w:type="pct"/>
          </w:tcPr>
          <w:p w:rsidR="00B52C93" w:rsidRPr="00B52C93" w:rsidRDefault="00B52C93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B52C93" w:rsidRPr="00B52C93" w:rsidRDefault="00B52C93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B52C93" w:rsidRPr="00B52C93" w:rsidRDefault="00B52C93" w:rsidP="00B52C93">
            <w:pPr>
              <w:spacing w:after="240" w:line="288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C9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Краснодар 201</w:t>
            </w:r>
            <w:r w:rsidR="005457C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</w:tbl>
    <w:p w:rsidR="00972E6E" w:rsidRDefault="00972E6E" w:rsidP="00B52C93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72E6E" w:rsidRDefault="00972E6E" w:rsidP="00B52C93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72E6E" w:rsidRDefault="00972E6E" w:rsidP="00B52C93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Составители: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 Слюсарев, В.И. Терпелец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Швец Т.В.</w:t>
      </w:r>
    </w:p>
    <w:p w:rsidR="00B52C93" w:rsidRPr="00B52C93" w:rsidRDefault="00B52C93" w:rsidP="00B52C9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Методические указания по проведению  практических за</w:t>
      </w:r>
      <w:r w:rsidR="00CB31D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нятий по дисциплине «Экологическ</w:t>
      </w:r>
      <w:r w:rsidRPr="00B52C93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ое почвоведение» 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подгото</w:t>
      </w:r>
      <w:r w:rsidR="005457CE">
        <w:rPr>
          <w:rFonts w:ascii="Times New Roman" w:eastAsia="Times New Roman" w:hAnsi="Times New Roman" w:cs="Times New Roman"/>
          <w:sz w:val="28"/>
          <w:szCs w:val="28"/>
          <w:lang w:eastAsia="ru-RU"/>
        </w:rPr>
        <w:t>вки аспирантов по направлению 35.06.01 «</w:t>
      </w:r>
      <w:r w:rsidR="005457CE">
        <w:rPr>
          <w:rFonts w:ascii="Times New Roman" w:eastAsia="Calibri" w:hAnsi="Times New Roman" w:cs="Courier New"/>
          <w:bCs/>
          <w:sz w:val="28"/>
          <w:szCs w:val="28"/>
        </w:rPr>
        <w:t>Сельское хозяйство</w:t>
      </w:r>
      <w:r w:rsidR="005457CE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профиль «</w:t>
      </w:r>
      <w:r w:rsidR="005457CE">
        <w:rPr>
          <w:rFonts w:ascii="Times New Roman" w:eastAsia="Calibri" w:hAnsi="Times New Roman" w:cs="Courier New"/>
          <w:bCs/>
          <w:sz w:val="28"/>
          <w:szCs w:val="28"/>
        </w:rPr>
        <w:t>Агрофизика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» / сост.</w:t>
      </w:r>
      <w:r w:rsidRPr="00B52C9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В.Н. Слюсарев, В.И. Терпелец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, Т.В. Швец</w:t>
      </w:r>
      <w:r w:rsidRPr="00B52C9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5457CE">
        <w:rPr>
          <w:rFonts w:ascii="Times New Roman" w:eastAsia="Times New Roman" w:hAnsi="Times New Roman" w:cs="Times New Roman"/>
          <w:sz w:val="28"/>
          <w:szCs w:val="20"/>
          <w:lang w:eastAsia="ru-RU"/>
        </w:rPr>
        <w:t>–  Краснодар: КубГАУ, 2014. – 28</w:t>
      </w:r>
      <w:r w:rsidRPr="00B52C9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с.</w:t>
      </w:r>
    </w:p>
    <w:p w:rsidR="00B52C93" w:rsidRPr="00B52C93" w:rsidRDefault="00B52C93" w:rsidP="00B52C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Default="00B52C93" w:rsidP="00B52C93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Изложены методические указания по проведению прак</w:t>
      </w:r>
      <w:r w:rsidR="000C7ABE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основной дисциплине, направленной на подготовку к сдаче кандидатского экзамена по профилю «Почвоведение».</w:t>
      </w:r>
      <w:r w:rsidR="00CC6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6A69" w:rsidRPr="00CC6A69" w:rsidRDefault="00CC6A69" w:rsidP="00B52C93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9">
        <w:rPr>
          <w:rFonts w:ascii="Times New Roman" w:eastAsia="Times New Roman" w:hAnsi="Times New Roman" w:cs="Times New Roman"/>
          <w:sz w:val="28"/>
          <w:szCs w:val="20"/>
          <w:lang w:eastAsia="ru-RU"/>
        </w:rPr>
        <w:t>Методические указания по проведению  практических заня</w:t>
      </w:r>
      <w:r w:rsidR="00CB31D1">
        <w:rPr>
          <w:rFonts w:ascii="Times New Roman" w:eastAsia="Times New Roman" w:hAnsi="Times New Roman" w:cs="Times New Roman"/>
          <w:sz w:val="28"/>
          <w:szCs w:val="20"/>
          <w:lang w:eastAsia="ru-RU"/>
        </w:rPr>
        <w:t>тий по дисциплине «Экологическое</w:t>
      </w:r>
      <w:r w:rsidRPr="00CC6A6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почвоведение»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предусматривают обязательное использование методических указаний для самостоятельной работы по данной дисциплине.</w:t>
      </w:r>
    </w:p>
    <w:p w:rsidR="00B52C93" w:rsidRPr="00B52C93" w:rsidRDefault="00B52C93" w:rsidP="00B52C93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Указания предназначены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подготовки аспирантов по направлен</w:t>
      </w:r>
      <w:r w:rsidR="005457CE">
        <w:rPr>
          <w:rFonts w:ascii="Times New Roman" w:eastAsia="Times New Roman" w:hAnsi="Times New Roman" w:cs="Times New Roman"/>
          <w:sz w:val="28"/>
          <w:szCs w:val="28"/>
          <w:lang w:eastAsia="ru-RU"/>
        </w:rPr>
        <w:t>ию 35.06.01 «</w:t>
      </w:r>
      <w:r w:rsidR="005457CE">
        <w:rPr>
          <w:rFonts w:ascii="Times New Roman" w:eastAsia="Calibri" w:hAnsi="Times New Roman" w:cs="Courier New"/>
          <w:bCs/>
          <w:sz w:val="28"/>
          <w:szCs w:val="28"/>
        </w:rPr>
        <w:t>Сельское хозяйство</w:t>
      </w:r>
      <w:r w:rsidR="005457CE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профиль «</w:t>
      </w:r>
      <w:r w:rsidR="005457CE">
        <w:rPr>
          <w:rFonts w:ascii="Times New Roman" w:eastAsia="Calibri" w:hAnsi="Times New Roman" w:cs="Courier New"/>
          <w:bCs/>
          <w:sz w:val="28"/>
          <w:szCs w:val="28"/>
        </w:rPr>
        <w:t>Агрофизика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B52C93" w:rsidRPr="00B52C93" w:rsidRDefault="00B52C93" w:rsidP="00B52C93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Рассмотрено и одобрено методической комиссией факультетов агрохимии и почвоведения, защиты растений Кубанского госагроуниверситета, протокол № 3  от 24.11.2014 г.</w:t>
      </w: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Председатель,</w:t>
      </w: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 комиссии                                                                 В.И. Терпелец</w:t>
      </w:r>
    </w:p>
    <w:p w:rsidR="00B52C93" w:rsidRPr="00B52C93" w:rsidRDefault="00B52C93" w:rsidP="00B52C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E6E" w:rsidRPr="00B52C93" w:rsidRDefault="00972E6E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© Слюсарев В.Н., Терпелец В.И.,</w:t>
      </w:r>
      <w:r w:rsid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Швец Т.Н. составление 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© ФГБОУ ВПО «Кубанский государственный</w:t>
      </w:r>
    </w:p>
    <w:p w:rsidR="00B52C93" w:rsidRPr="00B52C93" w:rsidRDefault="00B52C93" w:rsidP="00B52C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аграрный университет», 2014</w:t>
      </w:r>
    </w:p>
    <w:p w:rsidR="00B52C93" w:rsidRPr="00B52C93" w:rsidRDefault="00B52C93" w:rsidP="00B52C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Default="00B52C93"/>
    <w:p w:rsidR="00CC6A69" w:rsidRDefault="00CC6A69" w:rsidP="00CB31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2C93" w:rsidRDefault="00B52C93" w:rsidP="001073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C9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A3540" w:rsidRDefault="004A3540" w:rsidP="001073C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31D1" w:rsidRPr="00CB31D1" w:rsidRDefault="0073613F" w:rsidP="001073C8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   </w:t>
      </w:r>
      <w:r w:rsidRPr="0073613F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1. </w:t>
      </w:r>
      <w:r w:rsidR="00CB31D1" w:rsidRPr="00CB31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ОРГАНИЗАЦИЯ СЕТИ НАБЛЮДЕНИЙ ЗА СОДЕРЖАНИЕМ ТЯЖЕЛЫХ МЕТАЛЛОВ В ПОЧВАХ В ЗОНЕ ДЕЙСТВИЯ </w:t>
      </w:r>
    </w:p>
    <w:p w:rsidR="0073613F" w:rsidRPr="00CB31D1" w:rsidRDefault="00CB31D1" w:rsidP="001073C8">
      <w:pPr>
        <w:shd w:val="clear" w:color="auto" w:fill="FFFFFF"/>
        <w:spacing w:after="0" w:line="48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ТЕХНОГЕННОГО ИСТОЧНИКА ЗАГРЯЗНЕНИЯ</w:t>
      </w:r>
      <w:r w:rsidR="0073613F">
        <w:rPr>
          <w:rFonts w:ascii="Times New Roman" w:eastAsiaTheme="minorEastAsia" w:hAnsi="Times New Roman"/>
          <w:sz w:val="28"/>
          <w:szCs w:val="28"/>
          <w:lang w:eastAsia="ru-RU"/>
        </w:rPr>
        <w:t>.............</w:t>
      </w:r>
      <w:r w:rsidR="008436F1">
        <w:rPr>
          <w:rFonts w:ascii="Times New Roman" w:eastAsiaTheme="minorEastAsia" w:hAnsi="Times New Roman"/>
          <w:sz w:val="28"/>
          <w:szCs w:val="28"/>
          <w:lang w:eastAsia="ru-RU"/>
        </w:rPr>
        <w:t>...</w:t>
      </w:r>
      <w:r w:rsidR="00A23304">
        <w:rPr>
          <w:rFonts w:ascii="Times New Roman" w:eastAsiaTheme="minorEastAsia" w:hAnsi="Times New Roman"/>
          <w:sz w:val="28"/>
          <w:szCs w:val="28"/>
          <w:lang w:eastAsia="ru-RU"/>
        </w:rPr>
        <w:t>.........................</w:t>
      </w:r>
      <w:r w:rsidR="004A3540">
        <w:rPr>
          <w:rFonts w:ascii="Times New Roman" w:eastAsiaTheme="minorEastAsia" w:hAnsi="Times New Roman"/>
          <w:sz w:val="28"/>
          <w:szCs w:val="28"/>
          <w:lang w:eastAsia="ru-RU"/>
        </w:rPr>
        <w:t>4</w:t>
      </w:r>
    </w:p>
    <w:p w:rsidR="0073613F" w:rsidRPr="00A23304" w:rsidRDefault="00A23304" w:rsidP="001073C8">
      <w:pPr>
        <w:tabs>
          <w:tab w:val="left" w:pos="3700"/>
        </w:tabs>
        <w:spacing w:after="0" w:line="48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   </w:t>
      </w:r>
      <w:r w:rsidR="0073613F" w:rsidRPr="0073613F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2.</w:t>
      </w:r>
      <w:r w:rsidRPr="00A23304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ОЦЕНКА ЗАГРЯЗНЕНИЙ ПОЧВ ТЯЖЕЛЫМИ МЕТАЛЛАМИ ПРИ ВНЕСЕНИИ МИНЕРАЛЬНЫХ УДОБРЕНИЙ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.............................................</w:t>
      </w:r>
      <w:r w:rsidR="008436F1">
        <w:rPr>
          <w:rFonts w:ascii="Times New Roman" w:eastAsiaTheme="minorEastAsia" w:hAnsi="Times New Roman"/>
          <w:sz w:val="28"/>
          <w:szCs w:val="28"/>
          <w:lang w:eastAsia="ru-RU"/>
        </w:rPr>
        <w:t>....</w:t>
      </w:r>
      <w:r w:rsidR="001073C8">
        <w:rPr>
          <w:rFonts w:ascii="Times New Roman" w:eastAsiaTheme="minorEastAsia" w:hAnsi="Times New Roman"/>
          <w:sz w:val="28"/>
          <w:szCs w:val="28"/>
          <w:lang w:eastAsia="ru-RU"/>
        </w:rPr>
        <w:t>6</w:t>
      </w:r>
    </w:p>
    <w:p w:rsidR="0073613F" w:rsidRDefault="00A23304" w:rsidP="001073C8">
      <w:pPr>
        <w:spacing w:after="0" w:line="480" w:lineRule="auto"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  </w:t>
      </w:r>
      <w:r w:rsidR="0073613F">
        <w:rPr>
          <w:rFonts w:ascii="Times New Roman" w:eastAsiaTheme="minorEastAsia" w:hAnsi="Times New Roman"/>
          <w:sz w:val="28"/>
          <w:szCs w:val="28"/>
          <w:lang w:eastAsia="ru-RU"/>
        </w:rPr>
        <w:t>3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Pr="00A23304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ПРОГНОЗ ЭРОДИРУЕМОСТИ ПОЧВ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. </w:t>
      </w:r>
      <w:r w:rsidR="0073613F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...................</w:t>
      </w:r>
      <w:r w:rsidR="004A3540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...</w:t>
      </w:r>
      <w:r w:rsidR="008436F1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.....</w:t>
      </w:r>
      <w:r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.........................8</w:t>
      </w:r>
    </w:p>
    <w:p w:rsidR="00A23304" w:rsidRPr="00CB31D1" w:rsidRDefault="00A23304" w:rsidP="001073C8">
      <w:pPr>
        <w:spacing w:after="0" w:line="48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73613F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4.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ОПРЕДЕЛЕНИЕ СТЕПЕНИ СОЛОНЦЕВАТОСТИ ПОЧВ </w:t>
      </w:r>
    </w:p>
    <w:p w:rsidR="00A23304" w:rsidRDefault="00A23304" w:rsidP="001073C8">
      <w:pPr>
        <w:spacing w:after="0" w:line="480" w:lineRule="auto"/>
        <w:jc w:val="both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И РАСЧЕТ ДОЗ ГИПСА</w:t>
      </w:r>
      <w:r w:rsidR="004A3540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</w:t>
      </w:r>
      <w:r w:rsidR="008436F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</w:t>
      </w: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.........................................................................</w:t>
      </w:r>
      <w:r w:rsidR="001073C8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12</w:t>
      </w:r>
      <w:r w:rsidR="0073613F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  </w:t>
      </w:r>
    </w:p>
    <w:p w:rsidR="001073C8" w:rsidRDefault="00A23304" w:rsidP="001073C8">
      <w:pPr>
        <w:spacing w:after="0" w:line="48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   </w:t>
      </w:r>
      <w:r w:rsidR="0073613F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5.</w:t>
      </w:r>
      <w:r w:rsidRPr="00A23304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ОПРЕДЕЛЕНИЕ ПОТРЕБНОСТИ ПОЧВ В ИЗВЕСТКОВАНИИ И ВЫЧИСЛЕНИЕ ДОЗ ИЗВЕСТИ</w:t>
      </w:r>
      <w:r w:rsidR="008436F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</w:t>
      </w: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........................................................................</w:t>
      </w:r>
      <w:r w:rsidR="004A3540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4</w:t>
      </w:r>
      <w:r w:rsidR="001073C8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</w:t>
      </w:r>
    </w:p>
    <w:p w:rsidR="0073613F" w:rsidRPr="00AC1F77" w:rsidRDefault="00A23304" w:rsidP="001073C8">
      <w:pPr>
        <w:spacing w:after="0" w:line="480" w:lineRule="auto"/>
        <w:jc w:val="both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1073C8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  </w:t>
      </w: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6.</w:t>
      </w:r>
      <w:r w:rsidR="001073C8" w:rsidRPr="0010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73C8" w:rsidRPr="00C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АГРОЭКОЛОГИЧЕСКАЯ ОЦЕНКА ПОЧВ ВБЛИЗИ ТРАНСПОРТНЫХ МАГИСТРАЛЕЙ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</w:t>
      </w:r>
      <w:r w:rsidR="008436F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1</w:t>
      </w:r>
      <w:r w:rsidR="001073C8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5</w:t>
      </w:r>
    </w:p>
    <w:p w:rsidR="0073613F" w:rsidRPr="001073C8" w:rsidRDefault="001073C8" w:rsidP="001073C8">
      <w:pPr>
        <w:shd w:val="clear" w:color="auto" w:fill="FFFFFF"/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  </w:t>
      </w:r>
      <w:r w:rsidR="0073613F" w:rsidRPr="0073613F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7. </w:t>
      </w: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КОНТРОЛЬ НАД ОПОЛЗНЯМИ И ИХ ПРОГНОЗ</w:t>
      </w: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</w:t>
      </w: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16</w:t>
      </w:r>
    </w:p>
    <w:p w:rsidR="004A3540" w:rsidRPr="001073C8" w:rsidRDefault="001073C8" w:rsidP="001073C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</w:t>
      </w:r>
      <w:r w:rsidR="004A3540">
        <w:rPr>
          <w:rFonts w:ascii="Times New Roman" w:eastAsia="Times New Roman" w:hAnsi="Times New Roman"/>
          <w:color w:val="000000"/>
          <w:sz w:val="28"/>
          <w:lang w:eastAsia="ru-RU"/>
        </w:rPr>
        <w:t>8</w:t>
      </w:r>
      <w:r w:rsidR="004A3540" w:rsidRPr="001073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1073C8"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  <w:t xml:space="preserve"> </w:t>
      </w:r>
      <w:r w:rsidRPr="00CB31D1"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  <w:t>ОЦЕНКА АНТРОПОГЕННОЙ НАГРУЗКИ</w:t>
      </w:r>
      <w:r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  <w:t xml:space="preserve"> </w:t>
      </w:r>
      <w:r w:rsidRPr="00CB31D1"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  <w:t>НА ЗЕМЕЛЬНЫЕ РЕСУРСЫ</w:t>
      </w:r>
      <w:r>
        <w:rPr>
          <w:rFonts w:ascii="Times New Roman" w:eastAsia="Times New Roman" w:hAnsi="Times New Roman" w:cs="Times New Roman"/>
          <w:sz w:val="28"/>
          <w:lang w:eastAsia="ru-RU"/>
        </w:rPr>
        <w:t>..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.......................................................................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</w:t>
      </w:r>
    </w:p>
    <w:p w:rsidR="004A3540" w:rsidRPr="001073C8" w:rsidRDefault="004A3540" w:rsidP="001073C8">
      <w:pPr>
        <w:shd w:val="clear" w:color="auto" w:fill="FFFFFF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073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1073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073C8">
        <w:rPr>
          <w:rFonts w:ascii="Times New Roman" w:eastAsiaTheme="minorEastAsia" w:hAnsi="Times New Roman"/>
          <w:sz w:val="28"/>
          <w:szCs w:val="28"/>
          <w:lang w:eastAsia="ru-RU"/>
        </w:rPr>
        <w:t>9.</w:t>
      </w:r>
      <w:r w:rsidR="001073C8" w:rsidRPr="001073C8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ПОЧВЕННО-</w:t>
      </w:r>
      <w:r w:rsidR="001073C8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АГРОЭКОЛОГИЧЕСКОЕ РАЙОНИРОВАНИЕ </w:t>
      </w:r>
      <w:r w:rsidR="001073C8" w:rsidRPr="001073C8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СЕЛЬСКОХОЗЯЙСТВЕННЫХ ЗЕМЕЛЬ</w:t>
      </w:r>
      <w:r w:rsidRPr="001073C8"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="001073C8">
        <w:rPr>
          <w:rFonts w:ascii="Times New Roman" w:eastAsiaTheme="minorEastAsia" w:hAnsi="Times New Roman"/>
          <w:sz w:val="28"/>
          <w:szCs w:val="28"/>
          <w:lang w:eastAsia="ru-RU"/>
        </w:rPr>
        <w:t>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</w:t>
      </w:r>
      <w:r w:rsidR="001073C8">
        <w:rPr>
          <w:rFonts w:ascii="Times New Roman" w:eastAsiaTheme="minorEastAsia" w:hAnsi="Times New Roman"/>
          <w:sz w:val="28"/>
          <w:szCs w:val="28"/>
          <w:lang w:eastAsia="ru-RU"/>
        </w:rPr>
        <w:t>22</w:t>
      </w:r>
    </w:p>
    <w:p w:rsidR="00CB31D1" w:rsidRPr="00CB31D1" w:rsidRDefault="00CB31D1" w:rsidP="001073C8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1D1" w:rsidRDefault="00CB31D1" w:rsidP="001073C8">
      <w:pPr>
        <w:shd w:val="clear" w:color="auto" w:fill="FFFFFF"/>
        <w:spacing w:after="0" w:line="480" w:lineRule="auto"/>
        <w:ind w:right="45"/>
        <w:jc w:val="both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Default="00CB31D1" w:rsidP="00CB31D1">
      <w:pPr>
        <w:shd w:val="clear" w:color="auto" w:fill="FFFFFF"/>
        <w:spacing w:after="0" w:line="240" w:lineRule="auto"/>
        <w:ind w:right="45"/>
        <w:jc w:val="center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Default="00CB31D1" w:rsidP="00CB31D1">
      <w:pPr>
        <w:shd w:val="clear" w:color="auto" w:fill="FFFFFF"/>
        <w:spacing w:after="0" w:line="240" w:lineRule="auto"/>
        <w:ind w:right="45"/>
        <w:jc w:val="center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Default="00CB31D1" w:rsidP="00CB31D1">
      <w:pPr>
        <w:shd w:val="clear" w:color="auto" w:fill="FFFFFF"/>
        <w:spacing w:after="0" w:line="240" w:lineRule="auto"/>
        <w:ind w:right="45"/>
        <w:jc w:val="center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Default="00CB31D1" w:rsidP="00CB31D1">
      <w:pPr>
        <w:shd w:val="clear" w:color="auto" w:fill="FFFFFF"/>
        <w:spacing w:after="0" w:line="240" w:lineRule="auto"/>
        <w:ind w:right="45"/>
        <w:jc w:val="center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Pr="00CB31D1" w:rsidRDefault="00CB31D1" w:rsidP="001073C8">
      <w:pPr>
        <w:shd w:val="clear" w:color="auto" w:fill="FFFFFF"/>
        <w:spacing w:after="0" w:line="240" w:lineRule="auto"/>
        <w:ind w:right="4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lastRenderedPageBreak/>
        <w:t xml:space="preserve">РАБОТА 1. </w:t>
      </w:r>
      <w:r w:rsidRPr="00CB31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ОРГАНИЗАЦИЯ СЕТИ НАБЛЮДЕНИЙ ЗА СОДЕРЖАНИЕМ ТЯЖЕЛЫХ МЕТАЛЛОВ В ПОЧВАХ В ЗОНЕ ДЕЙСТВИЯ </w:t>
      </w:r>
    </w:p>
    <w:p w:rsidR="00CB31D1" w:rsidRPr="00CB31D1" w:rsidRDefault="00CB31D1" w:rsidP="00AC1F77">
      <w:pPr>
        <w:shd w:val="clear" w:color="auto" w:fill="FFFFFF"/>
        <w:spacing w:after="480" w:line="240" w:lineRule="auto"/>
        <w:ind w:right="45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ТЕХНОГЕННОГО ИСТОЧНИКА ЗАГРЯЗНЕНИЯ</w:t>
      </w: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Главный источник загрязнения почв тяжелыми металлами – сгорание добытого топлива на (ТЭС, ГРЭС, ТЭЦ). Исследованиями Госкомгидромета установлено, что зона максимального загрязнения почв распространяется на расстояние, равное 20-кратной высоте трубы при низком промышленном выбросе. Содержание ТМ в почвах, которое превышают фоновые уровни на 1 – 3 порядка величин, наблюдается в промышленной  и прилегающей к ней зонах радиусом 1 – </w:t>
      </w:r>
      <w:smartTag w:uri="urn:schemas-microsoft-com:office:smarttags" w:element="metricconverter">
        <w:smartTagPr>
          <w:attr w:name="ProductID" w:val="3 км"/>
        </w:smartTagPr>
        <w:r w:rsidRPr="00CB31D1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3 км</w:t>
        </w:r>
      </w:smartTag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 источника выброса. </w:t>
      </w:r>
    </w:p>
    <w:p w:rsidR="00CB31D1" w:rsidRPr="00CB31D1" w:rsidRDefault="00CB31D1" w:rsidP="00CB31D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При организации наблюдений в зоне загрязнения тяжелыми металлами обязательно ориентируются на розу ветров.</w:t>
      </w:r>
    </w:p>
    <w:p w:rsidR="00CB31D1" w:rsidRPr="005457CE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Роза ветров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это диаграмма показывающая повторяемость ветров различных направлений. Длины лучей в направлении основных и дополнительных (8, 16 или 32) румбов горизонта пропорциональны повторяемости ветров данного направления. Для построения розы ветров румбы необходимо перевести в %, пользуясь таблицей. Цифры у стрелок розы витков обозначают повторяемость ветра данного направления в % от общего числа наблюдений без штилей. Цифрой в центре обозначают среднее число штилей за период наблюдений. Следует помнить, что румбы отражают направления, откуда дует ветер.</w:t>
      </w:r>
    </w:p>
    <w:p w:rsidR="00AC1F77" w:rsidRPr="005457CE" w:rsidRDefault="00AC1F77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C1F77" w:rsidRDefault="00CB31D1" w:rsidP="00AC1F77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Таблица –  Перевод румбов в градусы</w:t>
      </w:r>
    </w:p>
    <w:p w:rsidR="00AC1F77" w:rsidRPr="00AC1F77" w:rsidRDefault="00AC1F77" w:rsidP="00AC1F77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</w:p>
    <w:tbl>
      <w:tblPr>
        <w:tblStyle w:val="a9"/>
        <w:tblW w:w="0" w:type="auto"/>
        <w:tblLook w:val="01E0"/>
      </w:tblPr>
      <w:tblGrid>
        <w:gridCol w:w="2303"/>
        <w:gridCol w:w="2319"/>
        <w:gridCol w:w="2304"/>
        <w:gridCol w:w="2319"/>
      </w:tblGrid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Румбы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Градусы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Румбы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Градусы</w:t>
            </w:r>
          </w:p>
        </w:tc>
      </w:tr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ССВ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ЮЮЗ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</w:tr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ЮЗ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</w:tr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ВСВ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ЗЮЗ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248</w:t>
            </w:r>
          </w:p>
        </w:tc>
      </w:tr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ВЮВ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ЗСЗ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292</w:t>
            </w:r>
          </w:p>
        </w:tc>
      </w:tr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ЮВ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СЗ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</w:tr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ЮЮВ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ССЗ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338</w:t>
            </w:r>
          </w:p>
        </w:tc>
      </w:tr>
    </w:tbl>
    <w:p w:rsidR="00AC1F77" w:rsidRDefault="00AC1F77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проведении почвенно-экологического мониторинга отбор образцов почв в пределах 1000 м от источника загрязнения проводится по основным векторам (румбам) на расстоянии 50, 100, 200, 400 и </w:t>
      </w:r>
      <w:smartTag w:uri="urn:schemas-microsoft-com:office:smarttags" w:element="metricconverter">
        <w:smartTagPr>
          <w:attr w:name="ProductID" w:val="800 м"/>
        </w:smartTagPr>
        <w:r w:rsidRPr="00CB31D1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800 м</w:t>
        </w:r>
      </w:smartTag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а при необходимости – с шагом один км. </w:t>
      </w:r>
    </w:p>
    <w:p w:rsidR="00CB31D1" w:rsidRPr="005457CE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Химический состав пылевых выбросов ТЭЦ работающих на угле, представлен в таблице. </w:t>
      </w:r>
    </w:p>
    <w:p w:rsidR="00AC1F77" w:rsidRPr="005457CE" w:rsidRDefault="00AC1F77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-3969"/>
        </w:tabs>
        <w:spacing w:before="120"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Таблица – Содержание тяжёлых металлов в выбросах ТЭЦ</w:t>
      </w:r>
    </w:p>
    <w:tbl>
      <w:tblPr>
        <w:tblStyle w:val="a9"/>
        <w:tblW w:w="0" w:type="auto"/>
        <w:tblInd w:w="108" w:type="dxa"/>
        <w:tblLook w:val="01E0"/>
      </w:tblPr>
      <w:tblGrid>
        <w:gridCol w:w="2284"/>
        <w:gridCol w:w="2393"/>
        <w:gridCol w:w="2393"/>
        <w:gridCol w:w="2286"/>
      </w:tblGrid>
      <w:tr w:rsidR="00CB31D1" w:rsidRPr="00CB31D1" w:rsidTr="00CB31D1">
        <w:tc>
          <w:tcPr>
            <w:tcW w:w="2284" w:type="dxa"/>
            <w:vMerge w:val="restart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Металл</w:t>
            </w:r>
          </w:p>
        </w:tc>
        <w:tc>
          <w:tcPr>
            <w:tcW w:w="4786" w:type="dxa"/>
            <w:gridSpan w:val="2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тяжёлых металлов</w:t>
            </w:r>
          </w:p>
        </w:tc>
        <w:tc>
          <w:tcPr>
            <w:tcW w:w="2286" w:type="dxa"/>
            <w:vMerge w:val="restart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ПДК в почве,</w:t>
            </w:r>
          </w:p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мг/кг</w:t>
            </w:r>
          </w:p>
        </w:tc>
      </w:tr>
      <w:tr w:rsidR="00CB31D1" w:rsidRPr="00CB31D1" w:rsidTr="00CB31D1">
        <w:tc>
          <w:tcPr>
            <w:tcW w:w="2284" w:type="dxa"/>
            <w:vMerge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т/год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мг/кг</w:t>
            </w:r>
          </w:p>
        </w:tc>
        <w:tc>
          <w:tcPr>
            <w:tcW w:w="2286" w:type="dxa"/>
            <w:vMerge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марганец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2110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кобальт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14,3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мышьяк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олово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21,6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барий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50,8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973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свинец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50,9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железо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1340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25600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скандий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вольфрам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68,8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</w:tbl>
    <w:p w:rsidR="00CB31D1" w:rsidRPr="00CB31D1" w:rsidRDefault="00CB31D1" w:rsidP="00CB31D1">
      <w:pPr>
        <w:tabs>
          <w:tab w:val="left" w:pos="3700"/>
        </w:tabs>
        <w:spacing w:before="240" w:after="12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Порядок выполнения работы.</w:t>
      </w:r>
    </w:p>
    <w:p w:rsidR="00CB31D1" w:rsidRPr="00CB31D1" w:rsidRDefault="00CB31D1" w:rsidP="00CB31D1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Рассчитать радиусы зоны максимального загрязнения почв и зоны превышения фоновых уровней загрязнения, используя в качестве источника выброса трубу Краснодарской ТЭЦ высотой 50 м. Построить розу ветров. </w:t>
      </w:r>
    </w:p>
    <w:p w:rsidR="00CB31D1" w:rsidRPr="00CB31D1" w:rsidRDefault="00CB31D1" w:rsidP="00CB31D1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Построить розу ветров, используя данные метеостанции Краснодар по повторяемости ветров в годовом режиме: С – 6, СВ – 21, В – 20, ЮВ – 5, Ю –7, ЮЗ – 16, З – 15, СЗ – 10, штиль – 15.</w:t>
      </w:r>
    </w:p>
    <w:p w:rsidR="00CB31D1" w:rsidRPr="00CB31D1" w:rsidRDefault="00CB31D1" w:rsidP="00CB31D1">
      <w:pPr>
        <w:numPr>
          <w:ilvl w:val="0"/>
          <w:numId w:val="8"/>
        </w:numPr>
        <w:tabs>
          <w:tab w:val="left" w:pos="-3402"/>
        </w:tabs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Составить графическую схему отбора почвенных образцов для целей почвенно-экологического мониторинга (основные направления и места опробования). </w:t>
      </w:r>
    </w:p>
    <w:p w:rsidR="00CB31D1" w:rsidRPr="00CB31D1" w:rsidRDefault="00AA69BC" w:rsidP="00CB31D1">
      <w:pPr>
        <w:numPr>
          <w:ilvl w:val="0"/>
          <w:numId w:val="8"/>
        </w:numPr>
        <w:tabs>
          <w:tab w:val="left" w:pos="-3402"/>
        </w:tabs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group id="_x0000_s1055" style="position:absolute;left:0;text-align:left;margin-left:9.15pt;margin-top:20.35pt;width:452.8pt;height:262.85pt;z-index:251660288" coordorigin="1113,577" coordsize="9948,5257">
            <v:rect id="_x0000_s1056" style="position:absolute;left:7821;top:4055;width:1080;height:540">
              <v:textbox style="mso-next-textbox:#_x0000_s1056">
                <w:txbxContent>
                  <w:p w:rsidR="00A23304" w:rsidRPr="00B60D8C" w:rsidRDefault="00A23304" w:rsidP="00CB31D1">
                    <w:pPr>
                      <w:jc w:val="center"/>
                    </w:pPr>
                    <w:r>
                      <w:t>ТЭЦ</w:t>
                    </w:r>
                  </w:p>
                </w:txbxContent>
              </v:textbox>
            </v:rect>
            <v:line id="_x0000_s1057" style="position:absolute;flip:x" from="9073,2433" to="10941,3604">
              <v:stroke endarrow="block"/>
            </v:line>
            <v:line id="_x0000_s1058" style="position:absolute" from="6921,2233" to="8181,3493"/>
            <v:line id="_x0000_s1059" style="position:absolute" from="8901,4235" to="9261,4235">
              <v:stroke endarrow="block"/>
            </v:line>
            <v:line id="_x0000_s1060" style="position:absolute" from="9261,4235" to="9621,4235">
              <v:stroke endarrow="block"/>
            </v:line>
            <v:line id="_x0000_s1061" style="position:absolute" from="9621,4235" to="9981,4235">
              <v:stroke endarrow="block"/>
            </v:line>
            <v:line id="_x0000_s1062" style="position:absolute" from="9801,4235" to="10341,4235">
              <v:stroke endarrow="block"/>
            </v:line>
            <v:line id="_x0000_s1063" style="position:absolute" from="10341,4235" to="10701,4235">
              <v:stroke endarrow="block"/>
            </v:line>
            <v:line id="_x0000_s1064" style="position:absolute;flip:x" from="7461,4708" to="7821,4888">
              <v:stroke endarrow="block"/>
            </v:line>
            <v:line id="_x0000_s1065" style="position:absolute;flip:x" from="7101,5001" to="7461,5181">
              <v:stroke endarrow="block"/>
            </v:line>
            <v:line id="_x0000_s1066" style="position:absolute;flip:x" from="6741,5181" to="7101,5361">
              <v:stroke endarrow="block"/>
            </v:line>
            <v:line id="_x0000_s1067" style="position:absolute;flip:x" from="6381,5474" to="6741,5654">
              <v:stroke endarrow="block"/>
            </v:line>
            <v:line id="_x0000_s1068" style="position:absolute;flip:x" from="6021,5654" to="6381,5834">
              <v:stroke endarrow="block"/>
            </v:line>
            <v:line id="_x0000_s1069" style="position:absolute" from="6741,4330" to="7821,4330">
              <v:stroke endarrow="block"/>
            </v:line>
            <v:line id="_x0000_s1070" style="position:absolute" from="10701,4235" to="11061,4235"/>
            <v:shapetype id="_x0000_t187" coordsize="21600,21600" o:spt="187" adj="8100" path="m21600,10800l@2@3,10800,0@3@3,,10800@3@2,10800,21600@2@2xe">
              <v:stroke joinstyle="miter"/>
              <v:formulas>
                <v:f eqn="sum 10800 0 #0"/>
                <v:f eqn="prod @0 23170 32768"/>
                <v:f eqn="sum @1 10800 0"/>
                <v:f eqn="sum 10800 0 @1"/>
              </v:formulas>
              <v:path gradientshapeok="t" o:connecttype="rect" textboxrect="@3,@3,@2,@2"/>
              <v:handles>
                <v:h position="#0,center" xrange="0,10800"/>
              </v:handles>
            </v:shapetype>
            <v:shape id="_x0000_s1071" type="#_x0000_t187" style="position:absolute;left:2089;top:1841;width:4103;height:2833"/>
            <v:shape id="_x0000_s1072" type="#_x0000_t187" style="position:absolute;left:2718;top:577;width:2722;height:4256;rotation:2872873fd"/>
            <v:oval id="_x0000_s1073" style="position:absolute;left:3289;top:2621;width:1620;height:1276">
              <v:textbox style="mso-next-textbox:#_x0000_s1073">
                <w:txbxContent>
                  <w:p w:rsidR="00A23304" w:rsidRDefault="00A23304" w:rsidP="00CB31D1">
                    <w:pPr>
                      <w:jc w:val="center"/>
                    </w:pPr>
                    <w:r w:rsidRPr="00A65035">
                      <w:t>15</w:t>
                    </w:r>
                  </w:p>
                  <w:p w:rsidR="00A23304" w:rsidRPr="00A65035" w:rsidRDefault="00A23304" w:rsidP="00CB31D1">
                    <w:pPr>
                      <w:jc w:val="center"/>
                    </w:pPr>
                    <w:r>
                      <w:t>штиль</w:t>
                    </w:r>
                  </w:p>
                </w:txbxContent>
              </v:textbox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3699;top:1216;width:785;height:392">
              <v:textbox style="mso-next-textbox:#_x0000_s1074">
                <w:txbxContent>
                  <w:p w:rsidR="00A23304" w:rsidRDefault="00A23304" w:rsidP="00CB31D1">
                    <w:pPr>
                      <w:jc w:val="center"/>
                    </w:pPr>
                    <w:r w:rsidRPr="00BA48C2">
                      <w:rPr>
                        <w:noProof/>
                      </w:rPr>
                      <w:t xml:space="preserve">С </w:t>
                    </w:r>
                    <w:r w:rsidRPr="00F951FA">
                      <w:rPr>
                        <w:noProof/>
                      </w:rPr>
                      <w:t>– 6</w:t>
                    </w:r>
                  </w:p>
                </w:txbxContent>
              </v:textbox>
            </v:shape>
            <v:shape id="_x0000_s1075" type="#_x0000_t202" style="position:absolute;left:5593;top:1095;width:1148;height:400">
              <v:textbox style="mso-next-textbox:#_x0000_s1075">
                <w:txbxContent>
                  <w:p w:rsidR="00A23304" w:rsidRDefault="00A23304" w:rsidP="00CB31D1">
                    <w:pPr>
                      <w:jc w:val="center"/>
                    </w:pPr>
                    <w:r w:rsidRPr="00F951FA">
                      <w:t>СВ – 21</w:t>
                    </w:r>
                  </w:p>
                </w:txbxContent>
              </v:textbox>
            </v:shape>
            <v:shape id="_x0000_s1076" type="#_x0000_t202" style="position:absolute;left:6106;top:3107;width:892;height:431">
              <v:textbox style="mso-next-textbox:#_x0000_s1076">
                <w:txbxContent>
                  <w:p w:rsidR="00A23304" w:rsidRDefault="00A23304" w:rsidP="00CB31D1">
                    <w:r w:rsidRPr="00F951FA">
                      <w:t>В – 20</w:t>
                    </w:r>
                  </w:p>
                </w:txbxContent>
              </v:textbox>
            </v:shape>
            <v:shape id="_x0000_s1077" type="#_x0000_t202" style="position:absolute;left:4909;top:3834;width:963;height:401">
              <v:textbox style="mso-next-textbox:#_x0000_s1077">
                <w:txbxContent>
                  <w:p w:rsidR="00A23304" w:rsidRDefault="00A23304" w:rsidP="00CB31D1">
                    <w:r w:rsidRPr="005C2621">
                      <w:t>ЮВ – 5</w:t>
                    </w:r>
                  </w:p>
                </w:txbxContent>
              </v:textbox>
            </v:shape>
            <v:shape id="_x0000_s1078" type="#_x0000_t202" style="position:absolute;left:3699;top:4888;width:1020;height:443">
              <v:textbox style="mso-next-textbox:#_x0000_s1078">
                <w:txbxContent>
                  <w:p w:rsidR="00A23304" w:rsidRDefault="00A23304" w:rsidP="00CB31D1">
                    <w:pPr>
                      <w:jc w:val="center"/>
                    </w:pPr>
                    <w:r>
                      <w:t xml:space="preserve">Ю – </w:t>
                    </w:r>
                  </w:p>
                  <w:p w:rsidR="00A23304" w:rsidRDefault="00A23304" w:rsidP="00CB31D1"/>
                </w:txbxContent>
              </v:textbox>
            </v:shape>
            <v:shape id="_x0000_s1079" type="#_x0000_t202" style="position:absolute;left:1604;top:4415;width:1277;height:473">
              <v:textbox style="mso-next-textbox:#_x0000_s1079">
                <w:txbxContent>
                  <w:p w:rsidR="00A23304" w:rsidRDefault="00A23304" w:rsidP="00CB31D1">
                    <w:pPr>
                      <w:jc w:val="center"/>
                    </w:pPr>
                    <w:r w:rsidRPr="005C2621">
                      <w:t>ЮЗ – 16</w:t>
                    </w:r>
                  </w:p>
                </w:txbxContent>
              </v:textbox>
            </v:shape>
            <v:shape id="_x0000_s1080" type="#_x0000_t202" style="position:absolute;left:1113;top:3061;width:853;height:432">
              <v:textbox style="mso-next-textbox:#_x0000_s1080">
                <w:txbxContent>
                  <w:p w:rsidR="00A23304" w:rsidRDefault="00A23304" w:rsidP="00CB31D1">
                    <w:pPr>
                      <w:jc w:val="center"/>
                    </w:pPr>
                    <w:r w:rsidRPr="005C2621">
                      <w:t>З – 15</w:t>
                    </w:r>
                  </w:p>
                </w:txbxContent>
              </v:textbox>
            </v:shape>
            <v:shape id="_x0000_s1081" type="#_x0000_t202" style="position:absolute;left:1861;top:1273;width:1200;height:448">
              <v:textbox style="mso-next-textbox:#_x0000_s1081">
                <w:txbxContent>
                  <w:p w:rsidR="00A23304" w:rsidRDefault="00A23304" w:rsidP="00CB31D1">
                    <w:pPr>
                      <w:jc w:val="center"/>
                    </w:pPr>
                    <w:r w:rsidRPr="005C2621">
                      <w:t>СЗ – 10</w:t>
                    </w:r>
                  </w:p>
                </w:txbxContent>
              </v:textbox>
            </v:shape>
          </v:group>
        </w:pict>
      </w:r>
      <w:r w:rsidR="00CB31D1"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Определить по таблице пять химических элементов в пылевых выбросах ТЭЦ, наиболее опасных для загрязнения почв. </w:t>
      </w: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СЗ (min)</w:t>
      </w: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ЮЗ   (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max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CB31D1" w:rsidRPr="00CB31D1" w:rsidRDefault="00CB31D1" w:rsidP="00AC1F77">
      <w:pPr>
        <w:tabs>
          <w:tab w:val="left" w:pos="3700"/>
        </w:tabs>
        <w:spacing w:after="0" w:line="240" w:lineRule="exact"/>
        <w:ind w:left="1276" w:hanging="1276"/>
        <w:jc w:val="both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Рис. 2 –</w:t>
      </w: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ab/>
        <w:t>Роза ветров и основные направления техногенного загрязнения выбросами ТЭЦ</w:t>
      </w:r>
    </w:p>
    <w:p w:rsidR="00CB31D1" w:rsidRPr="00CB31D1" w:rsidRDefault="00CB31D1" w:rsidP="00AC1F77">
      <w:pPr>
        <w:tabs>
          <w:tab w:val="left" w:pos="3700"/>
        </w:tabs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lastRenderedPageBreak/>
        <w:t>РАБОТА 2.  ОЦЕНКА ЗАГРЯЗНЕНИЙ ПОЧВ ТЯЖЕЛЫМИ МЕТАЛЛАМИ ПРИ ВНЕСЕНИИ МИНЕРАЛЬНЫХ УДОБРЕНИЙ</w:t>
      </w:r>
    </w:p>
    <w:p w:rsidR="00CB31D1" w:rsidRPr="00CB31D1" w:rsidRDefault="00CB31D1" w:rsidP="00CB31D1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оценки минеральных удобрений как потенциальных загрязнителей почвы тяжёлыми металлами (Ме)  необходимы данные об их содержании в удобрениях и ПДК для пахотных почв.</w:t>
      </w:r>
    </w:p>
    <w:p w:rsidR="00CB31D1" w:rsidRPr="00CB31D1" w:rsidRDefault="00CB31D1" w:rsidP="00CB31D1">
      <w:pPr>
        <w:tabs>
          <w:tab w:val="left" w:pos="3700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Таблица 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Содержание тяжелых Ме в минеральных удобрениях и ПДК  для пахотных почв, мг/кг</w:t>
      </w:r>
    </w:p>
    <w:tbl>
      <w:tblPr>
        <w:tblStyle w:val="a9"/>
        <w:tblW w:w="9464" w:type="dxa"/>
        <w:tblLook w:val="01E0"/>
      </w:tblPr>
      <w:tblGrid>
        <w:gridCol w:w="1914"/>
        <w:gridCol w:w="1914"/>
        <w:gridCol w:w="1914"/>
        <w:gridCol w:w="1914"/>
        <w:gridCol w:w="1808"/>
      </w:tblGrid>
      <w:tr w:rsidR="00CB31D1" w:rsidRPr="00CB31D1" w:rsidTr="00CB31D1"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Тяжелые Ме</w:t>
            </w:r>
          </w:p>
        </w:tc>
        <w:tc>
          <w:tcPr>
            <w:tcW w:w="5742" w:type="dxa"/>
            <w:gridSpan w:val="3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Удобрения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</w:tcBorders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ПДК</w:t>
            </w:r>
          </w:p>
        </w:tc>
      </w:tr>
      <w:tr w:rsidR="00CB31D1" w:rsidRPr="00CB31D1" w:rsidTr="00CB31D1">
        <w:tc>
          <w:tcPr>
            <w:tcW w:w="1914" w:type="dxa"/>
            <w:vMerge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tcBorders>
              <w:right w:val="single" w:sz="4" w:space="0" w:color="auto"/>
            </w:tcBorders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азотные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фосфорные</w:t>
            </w:r>
          </w:p>
        </w:tc>
        <w:tc>
          <w:tcPr>
            <w:tcW w:w="1914" w:type="dxa"/>
            <w:tcBorders>
              <w:left w:val="single" w:sz="4" w:space="0" w:color="auto"/>
            </w:tcBorders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калийные</w:t>
            </w:r>
          </w:p>
        </w:tc>
        <w:tc>
          <w:tcPr>
            <w:tcW w:w="1808" w:type="dxa"/>
            <w:vMerge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Pb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174,4</w:t>
            </w:r>
          </w:p>
        </w:tc>
        <w:tc>
          <w:tcPr>
            <w:tcW w:w="1914" w:type="dxa"/>
            <w:tcBorders>
              <w:top w:val="single" w:sz="4" w:space="0" w:color="auto"/>
            </w:tcBorders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138,1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196,5</w:t>
            </w:r>
          </w:p>
        </w:tc>
        <w:tc>
          <w:tcPr>
            <w:tcW w:w="1808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B31D1" w:rsidRPr="00CB31D1" w:rsidTr="00CB31D1"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201,9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1555,1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186,4</w:t>
            </w:r>
          </w:p>
        </w:tc>
        <w:tc>
          <w:tcPr>
            <w:tcW w:w="1808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CB31D1" w:rsidRPr="00CB31D1" w:rsidTr="00CB31D1"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Zn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186,4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1230,15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182,</w:t>
            </w: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808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CB31D1" w:rsidRPr="00CB31D1" w:rsidTr="00CB31D1"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1,3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2,65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0,6</w:t>
            </w:r>
          </w:p>
        </w:tc>
        <w:tc>
          <w:tcPr>
            <w:tcW w:w="1808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110</w:t>
            </w:r>
          </w:p>
        </w:tc>
      </w:tr>
      <w:tr w:rsidR="00CB31D1" w:rsidRPr="00CB31D1" w:rsidTr="00CB31D1"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Hg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0,43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4,6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0,7</w:t>
            </w:r>
          </w:p>
        </w:tc>
        <w:tc>
          <w:tcPr>
            <w:tcW w:w="1808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2,1</w:t>
            </w:r>
          </w:p>
        </w:tc>
      </w:tr>
    </w:tbl>
    <w:p w:rsidR="00CB31D1" w:rsidRPr="00CB31D1" w:rsidRDefault="00CB31D1" w:rsidP="00CB31D1">
      <w:pPr>
        <w:tabs>
          <w:tab w:val="left" w:pos="370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</w:p>
    <w:p w:rsidR="00CB31D1" w:rsidRPr="00CB31D1" w:rsidRDefault="00CB31D1" w:rsidP="00CB31D1">
      <w:pPr>
        <w:numPr>
          <w:ilvl w:val="0"/>
          <w:numId w:val="5"/>
        </w:numPr>
        <w:tabs>
          <w:tab w:val="left" w:pos="-3969"/>
        </w:tabs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Важно также учитывать региональные геохимические особенности аграрных районов. Так,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почвах чернозёмного ряда  Краснодарского края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максимальное валовое содержание тяжелых Ме (мг/кг) достигает: 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для  меди – 30, цинка – 90, свинца – 10, кадмия – 1, ртути – 1.</w:t>
      </w:r>
    </w:p>
    <w:p w:rsidR="00CB31D1" w:rsidRPr="00CB31D1" w:rsidRDefault="00CB31D1" w:rsidP="00CB31D1">
      <w:pPr>
        <w:numPr>
          <w:ilvl w:val="0"/>
          <w:numId w:val="5"/>
        </w:numPr>
        <w:tabs>
          <w:tab w:val="left" w:pos="-3969"/>
        </w:tabs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Увеличение агрохимической нагрузки способствует накоплению загрязнителей в почве. Так, в  РФ запланировано увеличение внесения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NPK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удобрений с 33 кг/га до 170 кг/га, в том числе азотных удобрений до 70 кг/га. </w:t>
      </w:r>
    </w:p>
    <w:p w:rsidR="00CB31D1" w:rsidRPr="00CB31D1" w:rsidRDefault="00CB31D1" w:rsidP="00CB31D1">
      <w:pPr>
        <w:tabs>
          <w:tab w:val="left" w:pos="3700"/>
        </w:tabs>
        <w:spacing w:after="120" w:line="240" w:lineRule="auto"/>
        <w:ind w:left="35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Порядок выполнения работы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CB31D1" w:rsidRPr="00CB31D1" w:rsidRDefault="00CB31D1" w:rsidP="00CB31D1">
      <w:pPr>
        <w:tabs>
          <w:tab w:val="left" w:pos="3700"/>
        </w:tabs>
        <w:spacing w:after="0" w:line="240" w:lineRule="auto"/>
        <w:ind w:left="567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Для того, чтобы узнать на сколько увеличится поступление пяти тяжёлых Ме (см. табл.) при возрастании несения минеральных удобрений с 33 (2010 г.) до 170 кг/га (2015 г.), в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том числе азотных удобрений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до 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70 кг/га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необходимо рассчитать количество поступления удобрений  сначала в 2010 году. Так как общее количество минеральных удобрений в этом году поступило 33 кг/га, что составляет суммарно 1 + 0,78 + 0,64 = 2,42 частей, то на одну часть приходится: 33 : 2,42 = 14 кг/га. Учитывая, что соотношение между основными элементами питания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 :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2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O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 :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K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2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O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составляет 1 : 0,78 : 0,64, то на 1 га пашни в 2010 году поступило азотных, фосфорных и калийных удобрений, соответственно, в кг/га: 14 × 1 = 14, 14 × 0,78 = 11 и 14 × 0,64 = 9.</w:t>
      </w:r>
    </w:p>
    <w:p w:rsidR="00CB31D1" w:rsidRPr="00CB31D1" w:rsidRDefault="00CB31D1" w:rsidP="00CB31D1">
      <w:pPr>
        <w:tabs>
          <w:tab w:val="left" w:pos="-3969"/>
        </w:tabs>
        <w:spacing w:after="0" w:line="240" w:lineRule="auto"/>
        <w:ind w:left="567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2.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Затем  по аналогии вычисляем поступление удобрений (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NPK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) в 2015 г.: 70 × 1 = 70 кг/га, 70 × 0,78 = 55 кг/га, 70 × 0,64 = 45 кг/га. Т.о., количество  азотных, фосфорных и калийных удобрений увеличилось соответственно на  56, 44 и 36 кг/га.</w:t>
      </w:r>
    </w:p>
    <w:p w:rsidR="00CB31D1" w:rsidRPr="00CB31D1" w:rsidRDefault="00CB31D1" w:rsidP="00CB31D1">
      <w:pPr>
        <w:spacing w:after="0" w:line="240" w:lineRule="auto"/>
        <w:ind w:left="567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Зная содержание ТМ в 1 кг удобрений (см. табл.), рассчитываем возможное их поступление с удобрениями: </w:t>
      </w:r>
    </w:p>
    <w:p w:rsidR="00CB31D1" w:rsidRPr="00CB31D1" w:rsidRDefault="00CB31D1" w:rsidP="00CB31D1">
      <w:pPr>
        <w:spacing w:after="0" w:line="240" w:lineRule="auto"/>
        <w:ind w:left="284" w:hanging="284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  <w:t>–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Pb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мг/га в максимальных дозах минеральных удобрений:</w:t>
      </w:r>
    </w:p>
    <w:p w:rsidR="00CB31D1" w:rsidRPr="00CB31D1" w:rsidRDefault="00CB31D1" w:rsidP="00CB31D1">
      <w:pPr>
        <w:tabs>
          <w:tab w:val="left" w:pos="-368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а) поступило с азотными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-удобрениями: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174,4 × 56 = 9766,4;</w:t>
      </w:r>
    </w:p>
    <w:p w:rsidR="00CB31D1" w:rsidRPr="00CB31D1" w:rsidRDefault="00CB31D1" w:rsidP="00CB31D1">
      <w:pPr>
        <w:tabs>
          <w:tab w:val="left" w:pos="-3969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ab/>
        <w:t>б) поступило с фосфорными Р-удобрениями: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138,1 × 44 = 6078,4;</w:t>
      </w:r>
    </w:p>
    <w:p w:rsidR="00CB31D1" w:rsidRPr="00CB31D1" w:rsidRDefault="00CB31D1" w:rsidP="00CB31D1">
      <w:pPr>
        <w:tabs>
          <w:tab w:val="left" w:pos="-141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в) поступило с калийными К-удобрениями: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196,5 × 36 = 7074,0.</w:t>
      </w:r>
    </w:p>
    <w:p w:rsidR="00CB31D1" w:rsidRPr="00CB31D1" w:rsidRDefault="00CB31D1" w:rsidP="00CB31D1">
      <w:pPr>
        <w:tabs>
          <w:tab w:val="left" w:pos="-1418"/>
        </w:tabs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Следовательно, суммарно с максимальными дозами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NPK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 - удобрений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ежегодно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будет поступать в почву  22918,8 мг/га свинца  или 0,023 кг/га (1кг = 10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6 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 мг).</w:t>
      </w:r>
    </w:p>
    <w:p w:rsidR="00CB31D1" w:rsidRPr="00CB31D1" w:rsidRDefault="00CB31D1" w:rsidP="00CB31D1">
      <w:pPr>
        <w:tabs>
          <w:tab w:val="left" w:pos="-1418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Pb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мг/га в минимальных дозах минеральных удобрений,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поступившего в почву с минимальными дозами в начале наблюдений (2010 г.), рассчитываем по аналогии:</w:t>
      </w:r>
    </w:p>
    <w:p w:rsidR="00CB31D1" w:rsidRPr="00CB31D1" w:rsidRDefault="00CB31D1" w:rsidP="00CB31D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а) поступило с азотными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-удобрениями: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174,4 × 14 = 2441,6;</w:t>
      </w:r>
    </w:p>
    <w:p w:rsidR="00CB31D1" w:rsidRPr="00CB31D1" w:rsidRDefault="00CB31D1" w:rsidP="00CB31D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б) поступило с фосфорными Р-удобрениями: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138,1 × 11 = 1519,1;</w:t>
      </w:r>
    </w:p>
    <w:p w:rsidR="00CB31D1" w:rsidRPr="00CB31D1" w:rsidRDefault="00CB31D1" w:rsidP="00CB31D1">
      <w:pPr>
        <w:tabs>
          <w:tab w:val="left" w:pos="-3969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в) поступило с калийными К-удобрениями: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196,5 × 9 = 1768,5.  </w:t>
      </w:r>
    </w:p>
    <w:p w:rsidR="00CB31D1" w:rsidRPr="00CB31D1" w:rsidRDefault="00CB31D1" w:rsidP="00CB31D1">
      <w:pPr>
        <w:tabs>
          <w:tab w:val="left" w:pos="-3969"/>
        </w:tabs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Следовательно, суммарно с минимальными дозами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NPK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-удобрений  поступило в почву в 2010 году 5729,2мг/га свинца  или 0,006кг/га. </w:t>
      </w:r>
    </w:p>
    <w:p w:rsidR="00CB31D1" w:rsidRPr="00CB31D1" w:rsidRDefault="00CB31D1" w:rsidP="00CB31D1">
      <w:pPr>
        <w:widowControl w:val="0"/>
        <w:tabs>
          <w:tab w:val="left" w:pos="3700"/>
        </w:tabs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Таким образом, разница в содержании свинца по сравнению с исходным ежегодно будет составлять: </w:t>
      </w:r>
    </w:p>
    <w:p w:rsidR="00CB31D1" w:rsidRPr="00CB31D1" w:rsidRDefault="00CB31D1" w:rsidP="00CB31D1">
      <w:pPr>
        <w:tabs>
          <w:tab w:val="left" w:pos="3700"/>
        </w:tabs>
        <w:spacing w:after="0" w:line="240" w:lineRule="auto"/>
        <w:ind w:left="709" w:hanging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0,023 кг – 0,06 = 0,017 кг/га, а за 5 лет: 0,017 × 5 = 0,085 кг/га.</w:t>
      </w:r>
    </w:p>
    <w:p w:rsidR="00CB31D1" w:rsidRPr="00CB31D1" w:rsidRDefault="00CB31D1" w:rsidP="00CB31D1">
      <w:pPr>
        <w:spacing w:after="0" w:line="240" w:lineRule="auto"/>
        <w:ind w:left="709" w:hanging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2.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Определяем, как изменятся фоновые значения содержания ТМ в почве через 5 лет. </w:t>
      </w:r>
    </w:p>
    <w:p w:rsidR="00CB31D1" w:rsidRPr="00CB31D1" w:rsidRDefault="00CB31D1" w:rsidP="00CB31D1">
      <w:pPr>
        <w:spacing w:before="120" w:after="0" w:line="240" w:lineRule="auto"/>
        <w:ind w:left="709" w:hanging="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а) рассчитаем  массу пахотного слоя (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Z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) в т/га:</w:t>
      </w:r>
    </w:p>
    <w:p w:rsidR="00CB31D1" w:rsidRPr="00CB31D1" w:rsidRDefault="00CB31D1" w:rsidP="00CB31D1">
      <w:pPr>
        <w:tabs>
          <w:tab w:val="left" w:pos="370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val="en-US" w:eastAsia="ru-RU"/>
        </w:rPr>
        <w:t>Z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 = 10000 × 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val="en-US" w:eastAsia="ru-RU"/>
        </w:rPr>
        <w:t>H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 × 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val="en-US" w:eastAsia="ru-RU"/>
        </w:rPr>
        <w:t>d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vertAlign w:val="subscript"/>
          <w:lang w:val="en-US" w:eastAsia="ru-RU"/>
        </w:rPr>
        <w:t>v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 ,</w:t>
      </w:r>
    </w:p>
    <w:p w:rsidR="00CB31D1" w:rsidRPr="00CB31D1" w:rsidRDefault="00CB31D1" w:rsidP="00CB31D1">
      <w:pPr>
        <w:tabs>
          <w:tab w:val="left" w:pos="-3969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где:</w:t>
      </w:r>
    </w:p>
    <w:p w:rsidR="00CB31D1" w:rsidRPr="00CB31D1" w:rsidRDefault="00CB31D1" w:rsidP="00CB31D1">
      <w:pPr>
        <w:tabs>
          <w:tab w:val="left" w:pos="-3969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H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  <w:t>–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мощность пахотного слоя, м (Н = 0, 2 м);</w:t>
      </w:r>
    </w:p>
    <w:p w:rsidR="00CB31D1" w:rsidRPr="00CB31D1" w:rsidRDefault="00CB31D1" w:rsidP="00CB31D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val="en-US" w:eastAsia="ru-RU"/>
        </w:rPr>
        <w:t>d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vertAlign w:val="subscript"/>
          <w:lang w:val="en-US" w:eastAsia="ru-RU"/>
        </w:rPr>
        <w:t>v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плотность сложения, г/см³  или т/м³ (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val="en-US" w:eastAsia="ru-RU"/>
        </w:rPr>
        <w:t>d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vertAlign w:val="subscript"/>
          <w:lang w:val="en-US" w:eastAsia="ru-RU"/>
        </w:rPr>
        <w:t>v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 1,2 г/см³);</w:t>
      </w:r>
    </w:p>
    <w:p w:rsidR="00CB31D1" w:rsidRPr="00CB31D1" w:rsidRDefault="00CB31D1" w:rsidP="00CB31D1">
      <w:pPr>
        <w:tabs>
          <w:tab w:val="left" w:pos="370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Z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 =10000 × 0, 2 × 1, 2 = 2400 т/га.</w:t>
      </w:r>
    </w:p>
    <w:p w:rsidR="00CB31D1" w:rsidRPr="00CB31D1" w:rsidRDefault="00CB31D1" w:rsidP="00CB31D1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б) рассчитаем фоновое содержание ТМ в почвах края (Ф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тм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 по формуле: </w:t>
      </w:r>
    </w:p>
    <w:p w:rsidR="00CB31D1" w:rsidRPr="00CB31D1" w:rsidRDefault="00CB31D1" w:rsidP="00CB31D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Ф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тм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 10</w:t>
      </w:r>
      <w:r w:rsidRPr="00CB31D1">
        <w:rPr>
          <w:rFonts w:ascii="Times New Roman" w:eastAsiaTheme="minorEastAsia" w:hAnsi="Times New Roman" w:cs="Times New Roman"/>
          <w:sz w:val="36"/>
          <w:szCs w:val="36"/>
          <w:vertAlign w:val="superscript"/>
          <w:lang w:eastAsia="ru-RU"/>
        </w:rPr>
        <w:t>-</w:t>
      </w:r>
      <w:r w:rsidRPr="00CB31D1">
        <w:rPr>
          <w:rFonts w:ascii="Times New Roman" w:eastAsiaTheme="minorEastAsia" w:hAnsi="Times New Roman" w:cs="Times New Roman"/>
          <w:sz w:val="36"/>
          <w:szCs w:val="36"/>
          <w:lang w:eastAsia="ru-RU"/>
        </w:rPr>
        <w:t>³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×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Z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 × ТМ (кг/га),</w:t>
      </w:r>
    </w:p>
    <w:p w:rsidR="00CB31D1" w:rsidRPr="00CB31D1" w:rsidRDefault="00CB31D1" w:rsidP="00CB31D1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например: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Ф</w:t>
      </w:r>
      <w:r w:rsidRPr="00CB31D1">
        <w:rPr>
          <w:rFonts w:ascii="Times New Roman" w:eastAsiaTheme="minorEastAsia" w:hAnsi="Times New Roman" w:cs="Times New Roman"/>
          <w:sz w:val="32"/>
          <w:szCs w:val="32"/>
          <w:vertAlign w:val="subscript"/>
          <w:lang w:val="en-US" w:eastAsia="ru-RU"/>
        </w:rPr>
        <w:t>Pb</w:t>
      </w:r>
      <w:r w:rsidRPr="00CB31D1">
        <w:rPr>
          <w:rFonts w:ascii="Times New Roman" w:eastAsiaTheme="minorEastAsia" w:hAnsi="Times New Roman" w:cs="Times New Roman"/>
          <w:sz w:val="32"/>
          <w:szCs w:val="32"/>
          <w:vertAlign w:val="subscript"/>
          <w:lang w:eastAsia="ru-RU"/>
        </w:rPr>
        <w:t>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= 10</w:t>
      </w:r>
      <w:r w:rsidRPr="00CB31D1">
        <w:rPr>
          <w:rFonts w:ascii="Times New Roman" w:eastAsiaTheme="minorEastAsia" w:hAnsi="Times New Roman" w:cs="Times New Roman"/>
          <w:sz w:val="36"/>
          <w:szCs w:val="36"/>
          <w:vertAlign w:val="superscript"/>
          <w:lang w:eastAsia="ru-RU"/>
        </w:rPr>
        <w:t>-</w:t>
      </w:r>
      <w:r w:rsidRPr="00CB31D1">
        <w:rPr>
          <w:rFonts w:ascii="Times New Roman" w:eastAsiaTheme="minorEastAsia" w:hAnsi="Times New Roman" w:cs="Times New Roman"/>
          <w:sz w:val="36"/>
          <w:szCs w:val="36"/>
          <w:lang w:eastAsia="ru-RU"/>
        </w:rPr>
        <w:t>³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× 2400 × 10 = 24 кг/га</w:t>
      </w:r>
    </w:p>
    <w:p w:rsidR="00CB31D1" w:rsidRPr="00CB31D1" w:rsidRDefault="00CB31D1" w:rsidP="00CB31D1">
      <w:p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в) переведем сумму  Фтм +5 × Δ TM в мг/кг по каждому  металлу по формуле:</w:t>
      </w:r>
    </w:p>
    <w:p w:rsidR="00CB31D1" w:rsidRPr="00CB31D1" w:rsidRDefault="00AA69BC" w:rsidP="00CB31D1">
      <w:p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sz w:val="28"/>
                  <w:szCs w:val="28"/>
                  <w:lang w:eastAsia="ru-RU"/>
                </w:rPr>
              </m:ctrlPr>
            </m:sSub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>Ф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>т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+5×∆ТМ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Z×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sz w:val="28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10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-3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sz w:val="28"/>
                          <w:szCs w:val="28"/>
                          <w:lang w:eastAsia="ru-RU"/>
                        </w:rPr>
                      </m:ctrlPr>
                    </m:sSubPr>
                    <m:e/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>мг/кг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Ф</m:t>
              </m:r>
            </m:e>
            <m:sub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т</m:t>
              </m:r>
            </m:sub>
          </m:sSub>
          <m:r>
            <m:rPr>
              <m:sty m:val="b"/>
            </m:rPr>
            <w:rPr>
              <w:rFonts w:ascii="Cambria Math" w:eastAsiaTheme="minorEastAsia" w:hAnsi="Cambria Math" w:cs="Times New Roman"/>
              <w:sz w:val="28"/>
              <w:szCs w:val="28"/>
              <w:lang w:eastAsia="ru-RU"/>
            </w:rPr>
            <m:t>+5×∆ТМ</m:t>
          </m:r>
        </m:oMath>
      </m:oMathPara>
    </w:p>
    <w:p w:rsidR="00CB31D1" w:rsidRPr="00CB31D1" w:rsidRDefault="00CB31D1" w:rsidP="00CB31D1">
      <w:pPr>
        <w:spacing w:after="0" w:line="240" w:lineRule="auto"/>
        <w:ind w:left="3540" w:firstLine="42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или</w:t>
      </w:r>
    </w:p>
    <w:p w:rsidR="00CB31D1" w:rsidRPr="00CB31D1" w:rsidRDefault="00AA69BC" w:rsidP="00CB31D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24+0,085</m:t>
              </m:r>
            </m:num>
            <m:den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2400×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-3</m:t>
                  </m:r>
                </m:sup>
              </m:sSup>
            </m:den>
          </m:f>
          <m:r>
            <m:rPr>
              <m:sty m:val="b"/>
            </m:rPr>
            <w:rPr>
              <w:rFonts w:ascii="Cambria Math" w:eastAsiaTheme="minorEastAsia" w:hAnsi="Cambria Math" w:cs="Times New Roman"/>
              <w:sz w:val="28"/>
              <w:szCs w:val="28"/>
              <w:lang w:eastAsia="ru-RU"/>
            </w:rPr>
            <m:t>=10,04 мг/кг.</m:t>
          </m:r>
        </m:oMath>
      </m:oMathPara>
    </w:p>
    <w:p w:rsidR="00CB31D1" w:rsidRPr="00CB31D1" w:rsidRDefault="00CB31D1" w:rsidP="00CB31D1">
      <w:pPr>
        <w:tabs>
          <w:tab w:val="left" w:pos="370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На основании анализа скоростей аккумуляции тяжёлых металлов (ТМ) в почве при внесении минеральных удобрений и сравнения полученных прогнозных оценок с ПДК определите, контроль за какими ТМ в почвах края являются приоритетными. Для этого выполните аналогичные предыдущим расчёты по другим ТМ: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Cu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Zn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Cd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Hg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CB31D1" w:rsidRPr="00CB31D1" w:rsidRDefault="00CB31D1" w:rsidP="00CB31D1">
      <w:pPr>
        <w:tabs>
          <w:tab w:val="left" w:pos="3700"/>
        </w:tabs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Ответ: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контроль следует вести за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Cu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так как содержание его в почве (30,18 мг/кг) превышает ПДК (23 мг/кг). </w:t>
      </w:r>
    </w:p>
    <w:p w:rsidR="00CB31D1" w:rsidRPr="00CB31D1" w:rsidRDefault="00CB31D1" w:rsidP="00CB31D1">
      <w:pPr>
        <w:widowControl w:val="0"/>
        <w:tabs>
          <w:tab w:val="left" w:pos="3700"/>
        </w:tabs>
        <w:spacing w:before="240" w:after="0" w:line="240" w:lineRule="auto"/>
        <w:ind w:left="35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Задание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: разработать агроэкологический прогноз ситуации по индивидуальному заданию и оформить в виде таблицы.</w:t>
      </w:r>
    </w:p>
    <w:tbl>
      <w:tblPr>
        <w:tblStyle w:val="a9"/>
        <w:tblW w:w="9180" w:type="dxa"/>
        <w:tblLook w:val="01E0"/>
      </w:tblPr>
      <w:tblGrid>
        <w:gridCol w:w="7196"/>
        <w:gridCol w:w="1984"/>
      </w:tblGrid>
      <w:tr w:rsidR="00CB31D1" w:rsidRPr="00CB31D1" w:rsidTr="001073C8">
        <w:trPr>
          <w:trHeight w:val="552"/>
        </w:trPr>
        <w:tc>
          <w:tcPr>
            <w:tcW w:w="7196" w:type="dxa"/>
            <w:vMerge w:val="restart"/>
            <w:tcBorders>
              <w:top w:val="single" w:sz="4" w:space="0" w:color="auto"/>
            </w:tcBorders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sz w:val="24"/>
                <w:szCs w:val="24"/>
              </w:rPr>
              <w:t>Значения</w:t>
            </w:r>
          </w:p>
        </w:tc>
      </w:tr>
      <w:tr w:rsidR="00CB31D1" w:rsidRPr="00CB31D1" w:rsidTr="001073C8">
        <w:trPr>
          <w:trHeight w:val="552"/>
        </w:trPr>
        <w:tc>
          <w:tcPr>
            <w:tcW w:w="7196" w:type="dxa"/>
            <w:vMerge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Увеличение поступления удобрений за 5 лет, кг/га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-3828"/>
              </w:tabs>
              <w:spacing w:line="48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в том числе азотных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Плотность сложения пахотного горизонта А</w:t>
            </w:r>
            <w:r w:rsidRPr="00CB31D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, (</w:t>
            </w:r>
            <w:r w:rsidRPr="00CB3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CB31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v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), г/см</w:t>
            </w:r>
            <w:r w:rsidRPr="00CB31D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Мощность пахотного слоя Н, см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9180" w:type="dxa"/>
            <w:gridSpan w:val="2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sz w:val="24"/>
                <w:szCs w:val="24"/>
              </w:rPr>
              <w:t>Фоновое содержание тяжелых металлов, мг/кг</w:t>
            </w: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B31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Pb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B31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Cu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B31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Zn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B31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Cd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B31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Hg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73C8" w:rsidRDefault="001073C8" w:rsidP="001073C8">
      <w:pPr>
        <w:tabs>
          <w:tab w:val="left" w:pos="3700"/>
        </w:tabs>
        <w:spacing w:before="480" w:after="48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before="480" w:after="480" w:line="240" w:lineRule="auto"/>
        <w:jc w:val="center"/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РАБОТА 3. ПРОГНОЗ ЭРОДИРУЕМОСТИ ПОЧВ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0" w:firstLine="69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Правильная организация сельскохозяйственного производства на эрозионно опасных территориях требует разработки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прогнозов эрозии почв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 возделывании тех или иных сельскохозяйственных культур и противоэрозионных мероприятий при проектировании орошения,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когда на поля планируется подача дополнительной воды различной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дождевальной техникой.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54" w:firstLine="69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предсказания последствий этих мероприятий предложены различные математические зависимости, оценивающие возможный смыв почв. Математизация прогноза эрозии проходила довольно сложным путем и до последнего времени не имеет окончательного решения.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24" w:right="14" w:firstLine="697"/>
        <w:jc w:val="both"/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>Одним из наиболее простых эмпирических математических выражений, для определения эрозионной опасности земель, полу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ченных на основе наблюдений на стоковых площадках, является универсальное </w:t>
      </w:r>
      <w:r w:rsidRPr="00CB31D1">
        <w:rPr>
          <w:rFonts w:ascii="Times New Roman" w:eastAsiaTheme="minorEastAsia" w:hAnsi="Times New Roman" w:cs="Times New Roman"/>
          <w:b/>
          <w:spacing w:val="-2"/>
          <w:sz w:val="28"/>
          <w:szCs w:val="28"/>
          <w:lang w:eastAsia="ru-RU"/>
        </w:rPr>
        <w:t>уравнение смыва почвы Уишмейера-Смита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:</w:t>
      </w:r>
    </w:p>
    <w:p w:rsidR="00CB31D1" w:rsidRPr="00CB31D1" w:rsidRDefault="00CB31D1" w:rsidP="00CB31D1">
      <w:pPr>
        <w:shd w:val="clear" w:color="auto" w:fill="FFFFFF"/>
        <w:spacing w:before="240" w:after="0" w:line="240" w:lineRule="auto"/>
        <w:ind w:left="23" w:right="11" w:hanging="23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  <w:r w:rsidRPr="00CB31D1">
        <w:rPr>
          <w:rFonts w:ascii="Times New Roman" w:eastAsiaTheme="minorEastAsia" w:hAnsi="Times New Roman" w:cs="Times New Roman"/>
          <w:b/>
          <w:iCs/>
          <w:sz w:val="28"/>
          <w:szCs w:val="28"/>
          <w:lang w:val="en-US" w:eastAsia="ru-RU"/>
        </w:rPr>
        <w:lastRenderedPageBreak/>
        <w:t>A = R × K × I × L × C × P,</w:t>
      </w:r>
    </w:p>
    <w:p w:rsidR="00CB31D1" w:rsidRPr="00CB31D1" w:rsidRDefault="00CB31D1" w:rsidP="00CB31D1">
      <w:pPr>
        <w:shd w:val="clear" w:color="auto" w:fill="FFFFFF"/>
        <w:spacing w:before="77" w:after="0" w:line="240" w:lineRule="auto"/>
        <w:ind w:right="5" w:firstLine="426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val="en-US" w:eastAsia="ru-RU"/>
        </w:rPr>
      </w:pP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где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val="en-US" w:eastAsia="ru-RU"/>
        </w:rPr>
        <w:t xml:space="preserve">: </w:t>
      </w:r>
    </w:p>
    <w:p w:rsidR="00CB31D1" w:rsidRPr="00CB31D1" w:rsidRDefault="00CB31D1" w:rsidP="00CB31D1">
      <w:pPr>
        <w:shd w:val="clear" w:color="auto" w:fill="FFFFFF"/>
        <w:spacing w:before="77" w:after="0" w:line="240" w:lineRule="auto"/>
        <w:ind w:left="851" w:right="5" w:hanging="567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pacing w:val="-1"/>
          <w:sz w:val="28"/>
          <w:szCs w:val="28"/>
          <w:lang w:eastAsia="ru-RU"/>
        </w:rPr>
        <w:t xml:space="preserve">А </w:t>
      </w:r>
      <w:r w:rsidRPr="00CB31D1">
        <w:rPr>
          <w:rFonts w:ascii="Times New Roman" w:eastAsiaTheme="minorEastAsia" w:hAnsi="Times New Roman" w:cs="Times New Roman"/>
          <w:i/>
          <w:iCs/>
          <w:spacing w:val="-1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ab/>
        <w:t xml:space="preserve">смыв почвы с единицы площади, т/га; </w:t>
      </w:r>
    </w:p>
    <w:p w:rsidR="00CB31D1" w:rsidRPr="00CB31D1" w:rsidRDefault="00CB31D1" w:rsidP="00CB31D1">
      <w:pPr>
        <w:shd w:val="clear" w:color="auto" w:fill="FFFFFF"/>
        <w:spacing w:before="77" w:after="0" w:line="240" w:lineRule="auto"/>
        <w:ind w:left="851" w:right="5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pacing w:val="-1"/>
          <w:sz w:val="28"/>
          <w:szCs w:val="28"/>
          <w:lang w:val="en-US" w:eastAsia="ru-RU"/>
        </w:rPr>
        <w:t>R</w:t>
      </w:r>
      <w:r w:rsidRPr="00CB31D1">
        <w:rPr>
          <w:rFonts w:ascii="Times New Roman" w:eastAsiaTheme="minorEastAsia" w:hAnsi="Times New Roman" w:cs="Times New Roman"/>
          <w:iCs/>
          <w:spacing w:val="-1"/>
          <w:sz w:val="28"/>
          <w:szCs w:val="28"/>
          <w:lang w:eastAsia="ru-RU"/>
        </w:rPr>
        <w:t xml:space="preserve">  –</w:t>
      </w:r>
      <w:r w:rsidRPr="00CB31D1">
        <w:rPr>
          <w:rFonts w:ascii="Times New Roman" w:eastAsiaTheme="minorEastAsia" w:hAnsi="Times New Roman" w:cs="Times New Roman"/>
          <w:i/>
          <w:iCs/>
          <w:spacing w:val="-1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фактор осадков в единицах годового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эрозионного индекса осадков, равный сумме произведений кинетической энергии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дождевых осадков слоем более 1 / 2 дюйма (дюйм равен 12,2 мм) на их максималь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ную тридцати минутную интенсивность (для упрощения расчетов эрозионный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индекс делят на 100); фактор осадков в единицах годового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эрозионного индекса осадков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равен 26 (для равнинной территории Краснодарского края) и 29 – для предгорной зоны края. Они 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>были опре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делены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по материалам наблюдений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 дождевыми осадками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с максимальной тридцатиминутной интенсивностью. На массивах, проектируемых под орошение, расчеты проводили с учетом количества воды,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подаваемой оросительными системами. </w:t>
      </w:r>
    </w:p>
    <w:p w:rsidR="00CB31D1" w:rsidRPr="00CB31D1" w:rsidRDefault="00CB31D1" w:rsidP="00CB31D1">
      <w:pPr>
        <w:shd w:val="clear" w:color="auto" w:fill="FFFFFF"/>
        <w:spacing w:before="77" w:after="0" w:line="240" w:lineRule="auto"/>
        <w:ind w:left="851" w:right="5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pacing w:val="-1"/>
          <w:sz w:val="28"/>
          <w:szCs w:val="28"/>
          <w:lang w:eastAsia="ru-RU"/>
        </w:rPr>
        <w:t xml:space="preserve">К </w:t>
      </w:r>
      <w:r w:rsidRPr="00CB31D1">
        <w:rPr>
          <w:rFonts w:ascii="Times New Roman" w:eastAsiaTheme="minorEastAsia" w:hAnsi="Times New Roman" w:cs="Times New Roman"/>
          <w:i/>
          <w:iCs/>
          <w:spacing w:val="-1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i/>
          <w:iCs/>
          <w:spacing w:val="-1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фактор эродируемости почв, равный отношению коли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чества смытой почвы с эталонного участка к единице эрозионного индекса осадков (за эталонный участок принят склон крутизной 4,5 и длиной 22,1 м, содержащийся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 паром с обработкой вдоль склона); </w:t>
      </w:r>
    </w:p>
    <w:p w:rsidR="00CB31D1" w:rsidRPr="00CB31D1" w:rsidRDefault="00CB31D1" w:rsidP="00CB31D1">
      <w:pPr>
        <w:shd w:val="clear" w:color="auto" w:fill="FFFFFF"/>
        <w:spacing w:before="77" w:after="0" w:line="240" w:lineRule="auto"/>
        <w:ind w:left="851" w:right="5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фактор крутизны склона, численно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равный отношению количества смытой почвы со склона данной крутизны к коли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честву почвы, смытой с участка крутизной 4,5 ° при одинаковой длине склона; </w:t>
      </w:r>
    </w:p>
    <w:p w:rsidR="00CB31D1" w:rsidRPr="00CB31D1" w:rsidRDefault="00CB31D1" w:rsidP="00CB31D1">
      <w:pPr>
        <w:shd w:val="clear" w:color="auto" w:fill="FFFFFF"/>
        <w:spacing w:before="77" w:after="0" w:line="240" w:lineRule="auto"/>
        <w:ind w:left="851" w:right="5" w:hanging="567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pacing w:val="-1"/>
          <w:sz w:val="28"/>
          <w:szCs w:val="28"/>
          <w:lang w:val="en-US" w:eastAsia="ru-RU"/>
        </w:rPr>
        <w:t>L</w:t>
      </w:r>
      <w:r w:rsidRPr="00CB31D1">
        <w:rPr>
          <w:rFonts w:ascii="Times New Roman" w:eastAsiaTheme="minorEastAsia" w:hAnsi="Times New Roman" w:cs="Times New Roman"/>
          <w:i/>
          <w:iCs/>
          <w:spacing w:val="-1"/>
          <w:sz w:val="28"/>
          <w:szCs w:val="28"/>
          <w:lang w:eastAsia="ru-RU"/>
        </w:rPr>
        <w:t xml:space="preserve">  –</w:t>
      </w:r>
      <w:r w:rsidRPr="00CB31D1">
        <w:rPr>
          <w:rFonts w:ascii="Times New Roman" w:eastAsiaTheme="minorEastAsia" w:hAnsi="Times New Roman" w:cs="Times New Roman"/>
          <w:i/>
          <w:iCs/>
          <w:spacing w:val="-1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фактор длины склона, равный отношению количества почвы, смытой со скло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>на данной длины, к количеству почвы, смытой с участка длиной 22,1 м при одина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ковой крутизне; </w:t>
      </w:r>
    </w:p>
    <w:p w:rsidR="00CB31D1" w:rsidRPr="00CB31D1" w:rsidRDefault="00CB31D1" w:rsidP="00CB31D1">
      <w:pPr>
        <w:shd w:val="clear" w:color="auto" w:fill="FFFFFF"/>
        <w:spacing w:before="77" w:after="0" w:line="240" w:lineRule="auto"/>
        <w:ind w:left="851" w:right="5" w:hanging="567"/>
        <w:jc w:val="both"/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pacing w:val="-1"/>
          <w:sz w:val="28"/>
          <w:szCs w:val="28"/>
          <w:lang w:eastAsia="ru-RU"/>
        </w:rPr>
        <w:t>С</w:t>
      </w:r>
      <w:r w:rsidRPr="00CB31D1">
        <w:rPr>
          <w:rFonts w:ascii="Times New Roman" w:eastAsiaTheme="minorEastAsia" w:hAnsi="Times New Roman" w:cs="Times New Roman"/>
          <w:i/>
          <w:iCs/>
          <w:spacing w:val="-1"/>
          <w:sz w:val="28"/>
          <w:szCs w:val="28"/>
          <w:lang w:eastAsia="ru-RU"/>
        </w:rPr>
        <w:t xml:space="preserve"> 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ab/>
        <w:t xml:space="preserve">фактор севооборота, равный отношению количества почвы,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смытой с поля при данном севообороте и принятой системе обработки почвы, к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смыву почв с такого же поля, находящегося под черным паром; </w:t>
      </w:r>
    </w:p>
    <w:p w:rsidR="00CB31D1" w:rsidRPr="00CB31D1" w:rsidRDefault="00CB31D1" w:rsidP="00CB31D1">
      <w:pPr>
        <w:shd w:val="clear" w:color="auto" w:fill="FFFFFF"/>
        <w:spacing w:before="77" w:after="0" w:line="240" w:lineRule="auto"/>
        <w:ind w:left="851" w:right="5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pacing w:val="-2"/>
          <w:sz w:val="28"/>
          <w:szCs w:val="28"/>
          <w:lang w:eastAsia="ru-RU"/>
        </w:rPr>
        <w:t xml:space="preserve">Р  </w:t>
      </w:r>
      <w:r w:rsidRPr="00CB31D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фактор почво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защитных мероприятий, равный количеству смытой почвы с поля, на котором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применяют противоэрозионные мероприятия, к количеству почвы, смываемой с поля, на котором обработку ведут вдоль склона.</w:t>
      </w:r>
    </w:p>
    <w:p w:rsidR="00CB31D1" w:rsidRPr="00CB31D1" w:rsidRDefault="00CB31D1" w:rsidP="00CB31D1">
      <w:pPr>
        <w:shd w:val="clear" w:color="auto" w:fill="FFFFFF"/>
        <w:spacing w:after="120" w:line="240" w:lineRule="auto"/>
        <w:ind w:left="6" w:right="45" w:firstLine="697"/>
        <w:jc w:val="both"/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Определение второго фактора (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val="en-US" w:eastAsia="ru-RU"/>
        </w:rPr>
        <w:t>K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) при прогнозировании эрозии сводится к выявле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нию эродируемости почв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номограмме Уишмейера, Джонса, Кроса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(рис. 1), которая учитывает следующие пять свойств почв: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709" w:right="45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1 –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ab/>
        <w:t>суммарное содер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жание фракций мелкого песка и пыли (0,1 – 0,001 мм);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709" w:right="45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2 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содержание песчаной фракции (1 – 0,1 мм);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709" w:right="45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3 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содержание гумуса (%);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709" w:right="45" w:hanging="425"/>
        <w:jc w:val="both"/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4 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содержание водопрочных агрегатов размером более 0,25 мм; </w:t>
      </w:r>
    </w:p>
    <w:p w:rsidR="00CB31D1" w:rsidRPr="00CB31D1" w:rsidRDefault="00CB31D1" w:rsidP="00CB31D1">
      <w:pPr>
        <w:shd w:val="clear" w:color="auto" w:fill="FFFFFF"/>
        <w:spacing w:after="360" w:line="240" w:lineRule="auto"/>
        <w:ind w:left="709" w:right="45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5 –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ab/>
        <w:t>водо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проницаемость почв.</w:t>
      </w:r>
    </w:p>
    <w:p w:rsidR="00CB31D1" w:rsidRPr="00CB31D1" w:rsidRDefault="00CB31D1" w:rsidP="00CB31D1">
      <w:pPr>
        <w:shd w:val="clear" w:color="auto" w:fill="FFFFFF"/>
        <w:spacing w:line="360" w:lineRule="auto"/>
        <w:ind w:right="1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12809"/>
            <wp:effectExtent l="19050" t="0" r="3175" b="0"/>
            <wp:docPr id="3" name="Рисунок 0" descr="Ном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ограмма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D1" w:rsidRPr="00CB31D1" w:rsidRDefault="00CB31D1" w:rsidP="00CB31D1">
      <w:pPr>
        <w:widowControl w:val="0"/>
        <w:shd w:val="clear" w:color="auto" w:fill="FFFFFF"/>
        <w:spacing w:before="120" w:after="360"/>
        <w:ind w:left="1418" w:hanging="113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Cs/>
          <w:spacing w:val="-5"/>
          <w:sz w:val="28"/>
          <w:szCs w:val="28"/>
          <w:lang w:eastAsia="ru-RU"/>
        </w:rPr>
        <w:t>Рис. 1 –</w:t>
      </w:r>
      <w:r w:rsidRPr="00CB31D1">
        <w:rPr>
          <w:rFonts w:ascii="Times New Roman" w:eastAsiaTheme="minorEastAsia" w:hAnsi="Times New Roman" w:cs="Times New Roman"/>
          <w:bCs/>
          <w:spacing w:val="-5"/>
          <w:sz w:val="28"/>
          <w:szCs w:val="28"/>
          <w:lang w:eastAsia="ru-RU"/>
        </w:rPr>
        <w:tab/>
        <w:t xml:space="preserve">Номограмма Уишмейера,  Джонса, Кроса для  определения  показателей </w:t>
      </w:r>
      <w:r w:rsidRPr="00CB31D1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эродируемости почвы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(стрелками показан ход вычислений)</w:t>
      </w:r>
      <w:r w:rsidRPr="00CB31D1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:</w:t>
      </w:r>
    </w:p>
    <w:p w:rsidR="00CB31D1" w:rsidRPr="00CB31D1" w:rsidRDefault="00CB31D1" w:rsidP="00CB31D1">
      <w:pPr>
        <w:shd w:val="clear" w:color="auto" w:fill="FFFFFF"/>
        <w:spacing w:before="120" w:after="0" w:line="240" w:lineRule="auto"/>
        <w:ind w:left="851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а 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содержание гумуса, %;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CB31D1" w:rsidRPr="00CB31D1" w:rsidRDefault="00CB31D1" w:rsidP="00CB31D1">
      <w:pPr>
        <w:shd w:val="clear" w:color="auto" w:fill="FFFFFF"/>
        <w:spacing w:before="120" w:after="0" w:line="240" w:lineRule="auto"/>
        <w:ind w:left="851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б 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содержание песка, %;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851" w:hanging="567"/>
        <w:jc w:val="both"/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в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содержание водопрочных агрегатов размером более 0,25 мм, 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%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(</w:t>
      </w:r>
      <w:r w:rsidRPr="00CB31D1">
        <w:rPr>
          <w:rFonts w:ascii="Times New Roman" w:eastAsiaTheme="minorEastAsia" w:hAnsi="Times New Roman" w:cs="Times New Roman"/>
          <w:b/>
          <w:i/>
          <w:iCs/>
          <w:sz w:val="28"/>
          <w:szCs w:val="28"/>
          <w:lang w:eastAsia="ru-RU"/>
        </w:rPr>
        <w:t>1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 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&gt; 50;  </w:t>
      </w:r>
      <w:r w:rsidRPr="00CB31D1">
        <w:rPr>
          <w:rFonts w:ascii="Times New Roman" w:eastAsiaTheme="minorEastAsia" w:hAnsi="Times New Roman" w:cs="Times New Roman"/>
          <w:b/>
          <w:i/>
          <w:iCs/>
          <w:sz w:val="28"/>
          <w:szCs w:val="28"/>
          <w:lang w:eastAsia="ru-RU"/>
        </w:rPr>
        <w:t>2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– 50 ... 25;  </w:t>
      </w:r>
      <w:r w:rsidRPr="00CB31D1">
        <w:rPr>
          <w:rFonts w:ascii="Times New Roman" w:eastAsiaTheme="minorEastAsia" w:hAnsi="Times New Roman" w:cs="Times New Roman"/>
          <w:b/>
          <w:i/>
          <w:iCs/>
          <w:sz w:val="28"/>
          <w:szCs w:val="28"/>
          <w:lang w:eastAsia="ru-RU"/>
        </w:rPr>
        <w:t>3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–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25 ... 10;  </w:t>
      </w:r>
      <w:r w:rsidRPr="00CB31D1">
        <w:rPr>
          <w:rFonts w:ascii="Times New Roman" w:eastAsiaTheme="minorEastAsia" w:hAnsi="Times New Roman" w:cs="Times New Roman"/>
          <w:b/>
          <w:i/>
          <w:iCs/>
          <w:sz w:val="28"/>
          <w:szCs w:val="28"/>
          <w:lang w:eastAsia="ru-RU"/>
        </w:rPr>
        <w:t>4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– &lt; 10 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%)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; 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851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г 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– 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водопроницаемость, мм (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1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&gt; 4; 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2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4 ... 3; </w:t>
      </w:r>
      <w:r w:rsidRPr="00CB31D1">
        <w:rPr>
          <w:rFonts w:ascii="Times New Roman" w:eastAsiaTheme="minorEastAsia" w:hAnsi="Times New Roman" w:cs="Times New Roman"/>
          <w:b/>
          <w:i/>
          <w:iCs/>
          <w:sz w:val="28"/>
          <w:szCs w:val="28"/>
          <w:lang w:eastAsia="ru-RU"/>
        </w:rPr>
        <w:t>3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– 3 ... 2; </w:t>
      </w:r>
      <w:r w:rsidRPr="00CB31D1">
        <w:rPr>
          <w:rFonts w:ascii="Times New Roman" w:eastAsiaTheme="minorEastAsia" w:hAnsi="Times New Roman" w:cs="Times New Roman"/>
          <w:b/>
          <w:i/>
          <w:iCs/>
          <w:sz w:val="28"/>
          <w:szCs w:val="28"/>
          <w:lang w:eastAsia="ru-RU"/>
        </w:rPr>
        <w:t>4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–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 ... 1;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5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–1 ... 0,5;  </w:t>
      </w:r>
      <w:r w:rsidRPr="00CB31D1">
        <w:rPr>
          <w:rFonts w:ascii="Times New Roman" w:eastAsiaTheme="minorEastAsia" w:hAnsi="Times New Roman" w:cs="Times New Roman"/>
          <w:b/>
          <w:i/>
          <w:iCs/>
          <w:sz w:val="28"/>
          <w:szCs w:val="28"/>
          <w:lang w:eastAsia="ru-RU"/>
        </w:rPr>
        <w:t>6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– &lt; 0,5); 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851" w:hanging="567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Cs/>
          <w:spacing w:val="-1"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b/>
          <w:iCs/>
          <w:spacing w:val="-1"/>
          <w:sz w:val="28"/>
          <w:szCs w:val="28"/>
          <w:vertAlign w:val="subscript"/>
          <w:lang w:eastAsia="ru-RU"/>
        </w:rPr>
        <w:t>1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эродируемость почв в зависимости от гранулометрического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состава и содержания гумуса;  </w:t>
      </w:r>
    </w:p>
    <w:p w:rsidR="00CB31D1" w:rsidRPr="00CB31D1" w:rsidRDefault="00CB31D1" w:rsidP="00CB31D1">
      <w:pPr>
        <w:widowControl w:val="0"/>
        <w:shd w:val="clear" w:color="auto" w:fill="FFFFFF"/>
        <w:spacing w:after="0" w:line="240" w:lineRule="auto"/>
        <w:ind w:left="851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Cs/>
          <w:spacing w:val="-1"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b/>
          <w:iCs/>
          <w:spacing w:val="-1"/>
          <w:sz w:val="28"/>
          <w:szCs w:val="28"/>
          <w:vertAlign w:val="subscript"/>
          <w:lang w:eastAsia="ru-RU"/>
        </w:rPr>
        <w:t>2</w:t>
      </w:r>
      <w:r w:rsidRPr="00CB31D1">
        <w:rPr>
          <w:rFonts w:ascii="Times New Roman" w:eastAsiaTheme="minorEastAsia" w:hAnsi="Times New Roman" w:cs="Times New Roman"/>
          <w:b/>
          <w:iCs/>
          <w:spacing w:val="-1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iCs/>
          <w:spacing w:val="-1"/>
          <w:sz w:val="28"/>
          <w:szCs w:val="28"/>
          <w:lang w:eastAsia="ru-RU"/>
        </w:rPr>
        <w:t xml:space="preserve">–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эродируемость почв с учетом всех пяти факто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ров. </w:t>
      </w:r>
    </w:p>
    <w:p w:rsidR="00CB31D1" w:rsidRPr="00CB31D1" w:rsidRDefault="00CB31D1" w:rsidP="00CB31D1">
      <w:pPr>
        <w:shd w:val="clear" w:color="auto" w:fill="FFFFFF"/>
        <w:spacing w:before="24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Ход этих вычислений имеет следующий вид.</w:t>
      </w:r>
    </w:p>
    <w:p w:rsidR="00CB31D1" w:rsidRPr="00CB31D1" w:rsidRDefault="00CB31D1" w:rsidP="00CB31D1">
      <w:pPr>
        <w:shd w:val="clear" w:color="auto" w:fill="FFFFFF"/>
        <w:spacing w:before="5" w:after="0" w:line="240" w:lineRule="auto"/>
        <w:ind w:right="43" w:firstLine="709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Допустим, что в почве содержится 65 % частиц фракций размером 0,1 – 0,001 мм. Находим эту точку на оси ординат левой части номограммы и от нее параллельно оси абсцисс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ведем линию до пересечения с пучком кривых содержания в почве фракций 0,1 – 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1 мм. </w:t>
      </w:r>
    </w:p>
    <w:p w:rsidR="00CB31D1" w:rsidRPr="00CB31D1" w:rsidRDefault="00CB31D1" w:rsidP="00CB31D1">
      <w:pPr>
        <w:shd w:val="clear" w:color="auto" w:fill="FFFFFF"/>
        <w:spacing w:before="5" w:after="0" w:line="240" w:lineRule="auto"/>
        <w:ind w:right="43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В исследуемой почве содержание данной фракции составляет 5 %. От этой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точки восстанавливаем перпендикуляр до пересечения с кривой содержания в па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хотном слое гумуса. В нашем случае в почве содержится 3,5 % гумуса. Ведем ли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нию до пересечения с этой кривой. Затем параллельно оси абсцисс продолжаем 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>линию до пересечения с концом левой части номограммы, на которой нанесены зна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чения фактора эродируемости  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.</w:t>
      </w:r>
    </w:p>
    <w:p w:rsidR="00CB31D1" w:rsidRPr="00CB31D1" w:rsidRDefault="00CB31D1" w:rsidP="00CB31D1">
      <w:pPr>
        <w:shd w:val="clear" w:color="auto" w:fill="FFFFFF"/>
        <w:spacing w:before="5" w:after="0" w:line="240" w:lineRule="auto"/>
        <w:ind w:left="58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lastRenderedPageBreak/>
        <w:t xml:space="preserve">Таким образом, фактор эродируемости вычисляется по данным содержания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гумуса и гранулометрического состава. В рассматриваемом случае получим значе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ние 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равное 2 т/га.</w:t>
      </w:r>
    </w:p>
    <w:p w:rsidR="00CB31D1" w:rsidRPr="00CB31D1" w:rsidRDefault="00CB31D1" w:rsidP="00CB31D1">
      <w:pPr>
        <w:shd w:val="clear" w:color="auto" w:fill="FFFFFF"/>
        <w:spacing w:before="14" w:after="0" w:line="240" w:lineRule="auto"/>
        <w:ind w:left="14" w:right="48" w:firstLine="709"/>
        <w:jc w:val="both"/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>Далее продолжаем последнюю линию по правой части номограммы до пересе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чения с линиями содержания в почве водопрочных агрегатов размером более 0,25 мм. В рассматриваемой почве их содержится 29 %. Затем опускаем линию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к оси абсцисс до пересечения с линиями, характеризующими водопроницаемость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почв. В рассматриваемом случае водопроницаемость почвы составляет 2 – 1 (1,5) мм/мин (</w:t>
      </w:r>
      <w:r w:rsidRPr="00CB31D1">
        <w:rPr>
          <w:rFonts w:ascii="Times New Roman" w:eastAsiaTheme="minorEastAsia" w:hAnsi="Times New Roman" w:cs="Times New Roman"/>
          <w:b/>
          <w:spacing w:val="-2"/>
          <w:sz w:val="28"/>
          <w:szCs w:val="28"/>
          <w:lang w:eastAsia="ru-RU"/>
        </w:rPr>
        <w:t>приложение  24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). </w:t>
      </w:r>
    </w:p>
    <w:p w:rsidR="00CB31D1" w:rsidRPr="00CB31D1" w:rsidRDefault="00CB31D1" w:rsidP="00CB31D1">
      <w:pPr>
        <w:shd w:val="clear" w:color="auto" w:fill="FFFFFF"/>
        <w:spacing w:before="14" w:after="0" w:line="240" w:lineRule="auto"/>
        <w:ind w:left="14" w:right="48" w:firstLine="709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пересечения с этой линией ведем линию к оси ординат, на которой показа</w:t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ны значения эродируемости почв с учетом всех пяти показателей – </w:t>
      </w:r>
      <w:r w:rsidRPr="00CB31D1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  <w:vertAlign w:val="subscript"/>
          <w:lang w:eastAsia="ru-RU"/>
        </w:rPr>
        <w:t>2</w:t>
      </w:r>
      <w:r w:rsidRPr="00CB31D1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  <w:lang w:eastAsia="ru-RU"/>
        </w:rPr>
        <w:t xml:space="preserve">. </w:t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Найденное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значение равно 2,2 т/га. </w:t>
      </w:r>
    </w:p>
    <w:p w:rsidR="00CB31D1" w:rsidRPr="00CB31D1" w:rsidRDefault="00CB31D1" w:rsidP="00CB31D1">
      <w:pPr>
        <w:shd w:val="clear" w:color="auto" w:fill="FFFFFF"/>
        <w:spacing w:before="14" w:after="0" w:line="240" w:lineRule="auto"/>
        <w:ind w:left="14" w:right="48" w:firstLine="709"/>
        <w:jc w:val="both"/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Таким образом, использование при расчетах прогноза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агрегатного состава и водопроницаемости позволяет уточнить значение эрозион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ной опасности почв, полученное при учете первых факторов. </w:t>
      </w:r>
    </w:p>
    <w:p w:rsidR="00CB31D1" w:rsidRPr="00CB31D1" w:rsidRDefault="00CB31D1" w:rsidP="00CB31D1">
      <w:pPr>
        <w:shd w:val="clear" w:color="auto" w:fill="FFFFFF"/>
        <w:spacing w:before="14" w:after="0" w:line="240" w:lineRule="auto"/>
        <w:ind w:left="14" w:right="48" w:firstLine="709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Найденное значение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говорит о том, что если почва находится под паром, обрабатывается вдоль склона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его уклоне 4,5 и длине 22,1 м, то на каждую единицу эрозионного индекса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будет теряться от эрозии 2,2 т/га в год. При эрозионном индексе, равном 26, кото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рый наиболее характерен для равнинной территории края, годовая потеря почв составит 62,4 т/га.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0" w:right="53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Следующий этап составления прогноза – это учет влияния на эрозию крутизны и длины склонов, отличающихся от стандартных (4,5 крутизна и 22,1 м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длина). Данные по крутизне и длине склонов берут с карты уклонов. Влияние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крутизны и длины склонов учитывают с помощью эмпирической формулы, полу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ченной американскими исследователями: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1" w:right="51" w:firstLine="709"/>
        <w:jc w:val="both"/>
        <w:rPr>
          <w:oMath/>
          <w:rFonts w:ascii="Cambria Math" w:eastAsiaTheme="minorEastAsia" w:hAnsi="Cambria Math" w:cs="Times New Roman"/>
          <w:sz w:val="28"/>
          <w:szCs w:val="28"/>
          <w:lang w:val="en-US" w:eastAsia="ru-RU"/>
        </w:rPr>
      </w:pPr>
      <m:oMathPara>
        <m:oMath>
          <m:r>
            <m:rPr>
              <m:nor/>
            </m:rPr>
            <w:rPr>
              <w:rFonts w:ascii="Times New Roman" w:eastAsiaTheme="minorEastAsia" w:hAnsi="Times New Roman" w:cs="Times New Roman"/>
              <w:b/>
              <w:sz w:val="28"/>
              <w:szCs w:val="28"/>
              <w:lang w:val="en-US" w:eastAsia="ru-RU"/>
            </w:rPr>
            <m:t>F(IL)=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sz w:val="28"/>
                  <w:szCs w:val="28"/>
                  <w:lang w:eastAsia="ru-RU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b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L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c</m:t>
                      </m:r>
                    </m:sub>
                  </m:sSub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m:t>(1,36+0,97×I+0,1385×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I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2</m:t>
                      </m:r>
                    </m:sup>
                  </m:sSup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m:t>)</m:t>
                  </m:r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b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L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c</m:t>
                      </m:r>
                    </m:sub>
                  </m:sSub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m:t>(1,36+0,97×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I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c</m:t>
                      </m:r>
                    </m:sub>
                  </m:sSub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m:t>+0,1385×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eastAsiaTheme="minorEastAsia" w:hAnsi="Times New Roman" w:cs="Times New Roman"/>
                              <w:b/>
                              <w:sz w:val="28"/>
                              <w:szCs w:val="28"/>
                              <w:lang w:val="en-US" w:eastAsia="ru-RU"/>
                            </w:rPr>
                            <m:t>I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eastAsiaTheme="minorEastAsia" w:hAnsi="Times New Roman" w:cs="Times New Roman"/>
                              <w:b/>
                              <w:sz w:val="28"/>
                              <w:szCs w:val="28"/>
                              <w:lang w:val="en-US" w:eastAsia="ru-RU"/>
                            </w:rPr>
                            <m:t>c</m:t>
                          </m:r>
                        </m:sub>
                      </m:sSub>
                    </m:e>
                    <m:sup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2</m:t>
                      </m:r>
                    </m:sup>
                  </m:sSup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m:t>)</m:t>
                  </m:r>
                </m:e>
              </m:rad>
            </m:den>
          </m:f>
        </m:oMath>
      </m:oMathPara>
    </w:p>
    <w:p w:rsidR="00CB31D1" w:rsidRPr="00CB31D1" w:rsidRDefault="00CB31D1" w:rsidP="00CB31D1">
      <w:pPr>
        <w:shd w:val="clear" w:color="auto" w:fill="FFFFFF"/>
        <w:spacing w:before="58"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где </w:t>
      </w:r>
    </w:p>
    <w:p w:rsidR="00CB31D1" w:rsidRPr="00CB31D1" w:rsidRDefault="00CB31D1" w:rsidP="00CB31D1">
      <w:pPr>
        <w:shd w:val="clear" w:color="auto" w:fill="FFFFFF"/>
        <w:spacing w:before="58"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F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(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IL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)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фактор крутизны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длины склона 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val="en-US" w:eastAsia="ru-RU"/>
        </w:rPr>
        <w:t>L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;</w:t>
      </w:r>
    </w:p>
    <w:p w:rsidR="00CB31D1" w:rsidRPr="00CB31D1" w:rsidRDefault="00CB31D1" w:rsidP="00CB31D1">
      <w:pPr>
        <w:shd w:val="clear" w:color="auto" w:fill="FFFFFF"/>
        <w:spacing w:before="58"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L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vertAlign w:val="subscript"/>
          <w:lang w:eastAsia="ru-RU"/>
        </w:rPr>
        <w:t>с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длина стандартной площадки, м;</w:t>
      </w:r>
    </w:p>
    <w:p w:rsidR="00CB31D1" w:rsidRPr="00CB31D1" w:rsidRDefault="00CB31D1" w:rsidP="00CB31D1">
      <w:pPr>
        <w:shd w:val="clear" w:color="auto" w:fill="FFFFFF"/>
        <w:spacing w:before="58"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крутизна стандартной площадки, 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%.</w:t>
      </w:r>
    </w:p>
    <w:p w:rsidR="00CB31D1" w:rsidRPr="00CB31D1" w:rsidRDefault="00CB31D1" w:rsidP="00CB31D1">
      <w:pPr>
        <w:shd w:val="clear" w:color="auto" w:fill="FFFFFF"/>
        <w:spacing w:before="58" w:after="0" w:line="240" w:lineRule="auto"/>
        <w:ind w:firstLine="708"/>
        <w:jc w:val="both"/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Например, для территории с длинной склона (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L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) 60м и крутизной (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2º: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1" w:right="51" w:firstLine="709"/>
        <w:jc w:val="both"/>
        <w:rPr>
          <w:oMath/>
          <w:rFonts w:ascii="Cambria Math" w:eastAsiaTheme="minorEastAsia" w:hAnsi="Cambria Math" w:cs="Times New Roman"/>
          <w:sz w:val="28"/>
          <w:szCs w:val="28"/>
          <w:lang w:eastAsia="ru-RU"/>
        </w:rPr>
      </w:pPr>
      <m:oMathPara>
        <m:oMath>
          <m:r>
            <m:rPr>
              <m:nor/>
            </m:rPr>
            <w:rPr>
              <w:rFonts w:ascii="Times New Roman" w:eastAsiaTheme="minorEastAsia" w:hAnsi="Times New Roman" w:cs="Times New Roman"/>
              <w:b/>
              <w:sz w:val="28"/>
              <w:szCs w:val="28"/>
              <w:lang w:val="en-US" w:eastAsia="ru-RU"/>
            </w:rPr>
            <m:t>F</m:t>
          </m:r>
          <m:r>
            <m:rPr>
              <m:nor/>
            </m:rP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m:t>(</m:t>
          </m:r>
          <m:r>
            <m:rPr>
              <m:nor/>
            </m:rPr>
            <w:rPr>
              <w:rFonts w:ascii="Times New Roman" w:eastAsiaTheme="minorEastAsia" w:hAnsi="Times New Roman" w:cs="Times New Roman"/>
              <w:b/>
              <w:sz w:val="28"/>
              <w:szCs w:val="28"/>
              <w:lang w:val="en-US" w:eastAsia="ru-RU"/>
            </w:rPr>
            <m:t>IL</m:t>
          </m:r>
          <m:r>
            <m:rPr>
              <m:nor/>
            </m:rP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m:t>)=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sz w:val="28"/>
                  <w:szCs w:val="28"/>
                  <w:lang w:eastAsia="ru-RU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b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m:t>22,1×(1,36+0,97×2+0,1385×4)</m:t>
                  </m:r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m:t>60(1,36+0,97×4,5+0,1385×20,25</m:t>
                  </m:r>
                </m:e>
              </m:rad>
            </m:den>
          </m:f>
          <m:r>
            <m:rPr>
              <m:nor/>
            </m:rP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m:t>=0,408</m:t>
          </m:r>
        </m:oMath>
      </m:oMathPara>
    </w:p>
    <w:p w:rsidR="00CB31D1" w:rsidRPr="00CB31D1" w:rsidRDefault="00CB31D1" w:rsidP="00CB31D1">
      <w:pPr>
        <w:shd w:val="clear" w:color="auto" w:fill="FFFFFF"/>
        <w:spacing w:before="58" w:after="0" w:line="240" w:lineRule="auto"/>
        <w:ind w:firstLine="708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Следовательно,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смыв почвы с единицы площади за год составит: </w:t>
      </w:r>
    </w:p>
    <w:p w:rsidR="00CB31D1" w:rsidRPr="00CB31D1" w:rsidRDefault="00CB31D1" w:rsidP="00CB31D1">
      <w:pPr>
        <w:shd w:val="clear" w:color="auto" w:fill="FFFFFF"/>
        <w:spacing w:before="58"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A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 = 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RKF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= 2,4 × 26 × 0,408 = 25,46 т/га.</w:t>
      </w:r>
    </w:p>
    <w:p w:rsidR="00CB31D1" w:rsidRPr="00CB31D1" w:rsidRDefault="00CB31D1" w:rsidP="00CB31D1">
      <w:pPr>
        <w:shd w:val="clear" w:color="auto" w:fill="FFFFFF"/>
        <w:spacing w:before="62" w:after="0" w:line="240" w:lineRule="auto"/>
        <w:ind w:left="5" w:right="53" w:firstLine="70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оценки степени эродированности исследуемой территории М.Н. Заславским (Ю.С. Толчельников, 1990) было выделено шесть градаций по степени опасности смыва почвы под чёрным паром за год при его обработке вдоль склона: </w:t>
      </w:r>
    </w:p>
    <w:tbl>
      <w:tblPr>
        <w:tblStyle w:val="a9"/>
        <w:tblW w:w="0" w:type="auto"/>
        <w:tblInd w:w="5" w:type="dxa"/>
        <w:tblLook w:val="04A0"/>
      </w:tblPr>
      <w:tblGrid>
        <w:gridCol w:w="4729"/>
        <w:gridCol w:w="4730"/>
      </w:tblGrid>
      <w:tr w:rsidR="00CB31D1" w:rsidRPr="00CB31D1" w:rsidTr="00CB31D1">
        <w:tc>
          <w:tcPr>
            <w:tcW w:w="4729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Смыв почвы </w:t>
            </w:r>
          </w:p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с единицы площади, т/га</w:t>
            </w:r>
          </w:p>
        </w:tc>
        <w:tc>
          <w:tcPr>
            <w:tcW w:w="4730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опасности смыва</w:t>
            </w:r>
          </w:p>
        </w:tc>
      </w:tr>
      <w:tr w:rsidR="00CB31D1" w:rsidRPr="00CB31D1" w:rsidTr="00CB31D1">
        <w:tc>
          <w:tcPr>
            <w:tcW w:w="4729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менее 50</w:t>
            </w:r>
          </w:p>
        </w:tc>
        <w:tc>
          <w:tcPr>
            <w:tcW w:w="4730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очень слабая</w:t>
            </w:r>
          </w:p>
        </w:tc>
      </w:tr>
      <w:tr w:rsidR="00CB31D1" w:rsidRPr="00CB31D1" w:rsidTr="00CB31D1">
        <w:tc>
          <w:tcPr>
            <w:tcW w:w="4729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50 – 100</w:t>
            </w:r>
          </w:p>
        </w:tc>
        <w:tc>
          <w:tcPr>
            <w:tcW w:w="4730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слабая</w:t>
            </w:r>
          </w:p>
        </w:tc>
      </w:tr>
      <w:tr w:rsidR="00CB31D1" w:rsidRPr="00CB31D1" w:rsidTr="00CB31D1">
        <w:tc>
          <w:tcPr>
            <w:tcW w:w="4729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100 – 150</w:t>
            </w:r>
          </w:p>
        </w:tc>
        <w:tc>
          <w:tcPr>
            <w:tcW w:w="4730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CB31D1" w:rsidRPr="00CB31D1" w:rsidTr="00CB31D1">
        <w:tc>
          <w:tcPr>
            <w:tcW w:w="4729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150 – 200</w:t>
            </w:r>
          </w:p>
        </w:tc>
        <w:tc>
          <w:tcPr>
            <w:tcW w:w="4730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сильная</w:t>
            </w:r>
          </w:p>
        </w:tc>
      </w:tr>
      <w:tr w:rsidR="00CB31D1" w:rsidRPr="00CB31D1" w:rsidTr="00CB31D1">
        <w:tc>
          <w:tcPr>
            <w:tcW w:w="4729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200 – 250</w:t>
            </w:r>
          </w:p>
        </w:tc>
        <w:tc>
          <w:tcPr>
            <w:tcW w:w="4730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 xml:space="preserve">очень сильная </w:t>
            </w:r>
          </w:p>
        </w:tc>
      </w:tr>
      <w:tr w:rsidR="00CB31D1" w:rsidRPr="00CB31D1" w:rsidTr="00CB31D1">
        <w:tc>
          <w:tcPr>
            <w:tcW w:w="4729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более 250</w:t>
            </w:r>
          </w:p>
        </w:tc>
        <w:tc>
          <w:tcPr>
            <w:tcW w:w="4730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чрезвычайно опасная</w:t>
            </w:r>
          </w:p>
        </w:tc>
      </w:tr>
    </w:tbl>
    <w:p w:rsidR="00CB31D1" w:rsidRPr="00CB31D1" w:rsidRDefault="00CB31D1" w:rsidP="00CB31D1">
      <w:pPr>
        <w:shd w:val="clear" w:color="auto" w:fill="FFFFFF"/>
        <w:spacing w:before="62" w:after="0" w:line="240" w:lineRule="auto"/>
        <w:ind w:left="5" w:right="53" w:firstLine="70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Итак, прогноз эродированности исследуемой территории  при хорошей водопроницаемости почвы и небольшой крутизне длинного склона характеризуется как очень слабым.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right="45" w:firstLine="703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Американские службы используют все показа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тели, которые входят в формулу Уишмейера – Смита, то есть, помимо приведен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ных в номограмме параметров, учитывают влияние на противоэрозионную стой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кость почв разных сельскохозяйственных культур и почвозащитное действие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противоэрозионных мероприятий.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right="45" w:firstLine="70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Но при таком расчете возникают свои сложнос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ти прогноза, поэтому усовершенствование методики составления прогнозных почвенных карт является одной из проблем специалистов сельскохозяйственного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производства.</w:t>
      </w:r>
    </w:p>
    <w:p w:rsidR="00CB31D1" w:rsidRPr="00CB31D1" w:rsidRDefault="00CB31D1" w:rsidP="00CB31D1">
      <w:pPr>
        <w:shd w:val="clear" w:color="auto" w:fill="FFFFFF"/>
        <w:spacing w:before="240" w:after="0" w:line="240" w:lineRule="auto"/>
        <w:ind w:right="45" w:firstLine="70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Прогноз эродируемости необходимо рассчитать по индивидуальному заданию и оформить в виде таблицы:</w:t>
      </w:r>
    </w:p>
    <w:tbl>
      <w:tblPr>
        <w:tblStyle w:val="a9"/>
        <w:tblW w:w="0" w:type="auto"/>
        <w:tblLook w:val="04A0"/>
      </w:tblPr>
      <w:tblGrid>
        <w:gridCol w:w="7479"/>
        <w:gridCol w:w="2092"/>
      </w:tblGrid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</w:tr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Длина склона (</w:t>
            </w: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L </w:t>
            </w: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), м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Крутизна склона (</w:t>
            </w: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I </w:t>
            </w: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), °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Содержание физического песка (частиц более 0,01 мм), %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Содержание физической глины (частиц более 0,01 мм), %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Содержание гумуса, %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Содержание водопрочных агрегатов более 0,25 мм, %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Водопроницаемость почвы, мм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Смыв почвы с единицы площади ( А ), т/га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31D1" w:rsidRPr="00CB31D1" w:rsidRDefault="00CB31D1" w:rsidP="00CB31D1">
      <w:pPr>
        <w:spacing w:line="240" w:lineRule="auto"/>
        <w:rPr>
          <w:rFonts w:eastAsiaTheme="minorEastAsia"/>
          <w:lang w:eastAsia="ru-RU"/>
        </w:rPr>
      </w:pPr>
    </w:p>
    <w:p w:rsidR="00CB31D1" w:rsidRPr="00CB31D1" w:rsidRDefault="00CB31D1" w:rsidP="00CB31D1">
      <w:pPr>
        <w:spacing w:before="480" w:after="0" w:line="240" w:lineRule="auto"/>
        <w:ind w:firstLine="72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РАБОТА 4.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ОПРЕДЕЛЕНИЕ СТЕПЕНИ СОЛОНЦЕВАТОСТИ ПОЧВ </w:t>
      </w:r>
    </w:p>
    <w:p w:rsidR="00CB31D1" w:rsidRPr="00CB31D1" w:rsidRDefault="00CB31D1" w:rsidP="00CB31D1">
      <w:pPr>
        <w:spacing w:after="0" w:line="240" w:lineRule="auto"/>
        <w:ind w:firstLine="72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И РАСЧЕТ ДОЗ ГИПСА</w:t>
      </w:r>
    </w:p>
    <w:p w:rsidR="00CB31D1" w:rsidRPr="00CB31D1" w:rsidRDefault="00CB31D1" w:rsidP="00CB31D1">
      <w:pPr>
        <w:spacing w:after="0" w:line="240" w:lineRule="auto"/>
        <w:ind w:firstLine="72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spacing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Почвы насыщенные основаниями могут содержать избыточное количество обменного натрия, отрицательно влияющего на их плодородие. Степень солонцеватости почв устанавливается по формуле: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oMath/>
          <w:rFonts w:ascii="Cambria Math" w:eastAsiaTheme="minorEastAsia" w:hAnsi="Cambria Math"/>
          <w:sz w:val="28"/>
          <w:szCs w:val="28"/>
          <w:lang w:eastAsia="ru-RU"/>
        </w:rPr>
      </w:pPr>
      <m:oMathPara>
        <m:oMath>
          <m:r>
            <m:rPr>
              <m:nor/>
            </m:rPr>
            <w:rPr>
              <w:rFonts w:ascii="Cambria Math" w:eastAsiaTheme="minorEastAsia" w:hAnsi="Cambria Math"/>
              <w:b/>
              <w:sz w:val="28"/>
              <w:szCs w:val="28"/>
              <w:lang w:eastAsia="ru-RU"/>
            </w:rPr>
            <w:lastRenderedPageBreak/>
            <m:t>A=</m:t>
          </m:r>
          <m:f>
            <m:fPr>
              <m:ctrl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nor/>
                </m:r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  <m:t>Na×100</m:t>
              </m:r>
            </m:num>
            <m:den>
              <m:r>
                <m:rPr>
                  <m:nor/>
                </m:r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  <m:t>E</m:t>
              </m:r>
            </m:den>
          </m:f>
        </m:oMath>
      </m:oMathPara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где:</w:t>
      </w:r>
    </w:p>
    <w:p w:rsidR="00CB31D1" w:rsidRPr="00CB31D1" w:rsidRDefault="00CB31D1" w:rsidP="00CB31D1">
      <w:pPr>
        <w:spacing w:after="0" w:line="240" w:lineRule="auto"/>
        <w:ind w:left="993" w:hanging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А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степень солонцеватости, % от емкости обмена; </w:t>
      </w:r>
    </w:p>
    <w:p w:rsidR="00CB31D1" w:rsidRPr="00CB31D1" w:rsidRDefault="00CB31D1" w:rsidP="00CB31D1">
      <w:pPr>
        <w:spacing w:after="0" w:line="240" w:lineRule="auto"/>
        <w:ind w:left="993" w:hanging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Na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содержание обменного натрия, мг–экв на 100 г почвы; </w:t>
      </w:r>
    </w:p>
    <w:p w:rsidR="00CB31D1" w:rsidRPr="00CB31D1" w:rsidRDefault="00CB31D1" w:rsidP="00CB31D1">
      <w:pPr>
        <w:spacing w:after="0" w:line="240" w:lineRule="auto"/>
        <w:ind w:left="993" w:hanging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Е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емкость обмена, мг–экв на 100 г почвы.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>По степени солонцеватости различают:</w:t>
      </w:r>
    </w:p>
    <w:p w:rsidR="00CB31D1" w:rsidRPr="00CB31D1" w:rsidRDefault="00CB31D1" w:rsidP="00CB31D1">
      <w:pPr>
        <w:spacing w:after="0" w:line="240" w:lineRule="auto"/>
        <w:ind w:left="709" w:hanging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 несолонцеватые почвы, содержащие менее 3 % поглощенного натрия от емкости катионного обмена; </w:t>
      </w:r>
    </w:p>
    <w:p w:rsidR="00CB31D1" w:rsidRPr="00CB31D1" w:rsidRDefault="00CB31D1" w:rsidP="00CB31D1">
      <w:pPr>
        <w:spacing w:after="0" w:line="240" w:lineRule="auto"/>
        <w:ind w:left="709" w:hanging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слабосолонцеватые – 3–5 %; </w:t>
      </w:r>
    </w:p>
    <w:p w:rsidR="00CB31D1" w:rsidRPr="00CB31D1" w:rsidRDefault="00CB31D1" w:rsidP="00CB31D1">
      <w:pPr>
        <w:spacing w:after="0" w:line="240" w:lineRule="auto"/>
        <w:ind w:left="709" w:hanging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среднесолонцеватые – 5–10 %; </w:t>
      </w:r>
    </w:p>
    <w:p w:rsidR="00CB31D1" w:rsidRPr="00CB31D1" w:rsidRDefault="00CB31D1" w:rsidP="00CB31D1">
      <w:pPr>
        <w:spacing w:after="0" w:line="240" w:lineRule="auto"/>
        <w:ind w:left="709" w:hanging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сильносолонцеватые – 10–15 %.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>Солонцы по содержанию обменного натрия в горизонте В</w:t>
      </w:r>
      <w:r w:rsidRPr="00CB31D1">
        <w:rPr>
          <w:rFonts w:ascii="Times New Roman" w:eastAsiaTheme="minorEastAsia" w:hAnsi="Times New Roman"/>
          <w:b/>
          <w:sz w:val="28"/>
          <w:szCs w:val="28"/>
          <w:vertAlign w:val="subscript"/>
          <w:lang w:eastAsia="ru-RU"/>
        </w:rPr>
        <w:t>1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: </w:t>
      </w:r>
    </w:p>
    <w:p w:rsidR="00CB31D1" w:rsidRPr="00CB31D1" w:rsidRDefault="00CB31D1" w:rsidP="00CB31D1">
      <w:pPr>
        <w:spacing w:after="0" w:line="240" w:lineRule="auto"/>
        <w:ind w:left="709" w:hanging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малонатриевые – 10–20 %; </w:t>
      </w:r>
    </w:p>
    <w:p w:rsidR="00CB31D1" w:rsidRPr="00CB31D1" w:rsidRDefault="00CB31D1" w:rsidP="00CB31D1">
      <w:pPr>
        <w:spacing w:after="0" w:line="240" w:lineRule="auto"/>
        <w:ind w:left="709" w:hanging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средненатриевые – 20–40 %; </w:t>
      </w:r>
    </w:p>
    <w:p w:rsidR="00CB31D1" w:rsidRPr="00CB31D1" w:rsidRDefault="00CB31D1" w:rsidP="00CB31D1">
      <w:pPr>
        <w:spacing w:after="0" w:line="240" w:lineRule="auto"/>
        <w:ind w:left="709" w:hanging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многонатриевые – &gt; 40 %.</w:t>
      </w:r>
    </w:p>
    <w:p w:rsidR="00CB31D1" w:rsidRPr="00CB31D1" w:rsidRDefault="00CB31D1" w:rsidP="00CB31D1">
      <w:pPr>
        <w:spacing w:line="240" w:lineRule="auto"/>
        <w:ind w:firstLine="72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>Пример расчетов.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При анализе каштановой почвы получены следующие данные: содержание обменного натрия в пахотном слое мощностью (</w:t>
      </w: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h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) 25 см и плотностью (</w:t>
      </w: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d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V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) 1,39 г/см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3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составило 2,8 мг–экв на 100 г почвы, емкость обмена  – 20 мг–экв на 100 г почвы.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Степень солонцеватости равна: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oMath/>
          <w:rFonts w:ascii="Cambria Math" w:eastAsiaTheme="minorEastAsia" w:hAnsi="Cambria Math"/>
          <w:sz w:val="28"/>
          <w:szCs w:val="28"/>
          <w:lang w:eastAsia="ru-RU"/>
        </w:rPr>
      </w:pPr>
      <m:oMathPara>
        <m:oMath>
          <m:r>
            <m:rPr>
              <m:nor/>
            </m:rPr>
            <w:rPr>
              <w:rFonts w:ascii="Cambria Math" w:eastAsiaTheme="minorEastAsia" w:hAnsi="Cambria Math"/>
              <w:b/>
              <w:sz w:val="28"/>
              <w:szCs w:val="28"/>
              <w:lang w:eastAsia="ru-RU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nor/>
                </m:r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  <m:t>2,8×100</m:t>
              </m:r>
            </m:num>
            <m:den>
              <m:r>
                <m:rPr>
                  <m:nor/>
                </m:r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  <m:t>20</m:t>
              </m:r>
            </m:den>
          </m:f>
          <m:r>
            <m:rPr>
              <m:nor/>
            </m:rPr>
            <w:rPr>
              <w:rFonts w:ascii="Cambria Math" w:eastAsiaTheme="minorEastAsia" w:hAnsi="Cambria Math"/>
              <w:b/>
              <w:sz w:val="28"/>
              <w:szCs w:val="28"/>
              <w:lang w:eastAsia="ru-RU"/>
            </w:rPr>
            <m:t>=14%</m:t>
          </m:r>
        </m:oMath>
      </m:oMathPara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Почва относится к сильносолонцеватой и нуждается в химической мелиорации.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Для улучшения свойств солонцов и солонцеватых почв в качестве химического мелиоранта чаще всего используется гипс (Са</w:t>
      </w: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SO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4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.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2Н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О). Дозу гипса находят по формуле: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b/>
          <w:i/>
          <w:sz w:val="28"/>
          <w:szCs w:val="28"/>
          <w:lang w:val="en-US" w:eastAsia="ru-RU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8"/>
              <w:lang w:eastAsia="ru-RU"/>
            </w:rPr>
            <m:t>Д=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0,086×(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Na-0.05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E)×h×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 w:eastAsia="ru-RU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 w:eastAsia="ru-RU"/>
                    </w:rPr>
                    <m:t>v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×100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DB</m:t>
              </m:r>
            </m:den>
          </m:f>
        </m:oMath>
      </m:oMathPara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где </w:t>
      </w:r>
    </w:p>
    <w:p w:rsidR="00CB31D1" w:rsidRPr="00CB31D1" w:rsidRDefault="00CB31D1" w:rsidP="00CB31D1">
      <w:pPr>
        <w:spacing w:after="0" w:line="240" w:lineRule="auto"/>
        <w:ind w:left="1701" w:hanging="98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Д    –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доза гипса, т/га; </w:t>
      </w:r>
    </w:p>
    <w:p w:rsidR="00CB31D1" w:rsidRPr="00CB31D1" w:rsidRDefault="00CB31D1" w:rsidP="00CB31D1">
      <w:pPr>
        <w:spacing w:after="0" w:line="240" w:lineRule="auto"/>
        <w:ind w:left="1701" w:hanging="98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0,086 –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значение 1 мг-экв гипса, </w:t>
      </w:r>
    </w:p>
    <w:p w:rsidR="00CB31D1" w:rsidRPr="00CB31D1" w:rsidRDefault="00CB31D1" w:rsidP="00CB31D1">
      <w:pPr>
        <w:spacing w:after="0" w:line="240" w:lineRule="auto"/>
        <w:ind w:left="1701" w:hanging="98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Na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содержание обменного натрия, мг-экв на 100 г почвы; </w:t>
      </w:r>
    </w:p>
    <w:p w:rsidR="00CB31D1" w:rsidRPr="00CB31D1" w:rsidRDefault="00CB31D1" w:rsidP="00CB31D1">
      <w:pPr>
        <w:spacing w:after="0" w:line="240" w:lineRule="auto"/>
        <w:ind w:left="1701" w:hanging="98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Е     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емкость обмена, мг–экв на 100 г почвы; </w:t>
      </w:r>
    </w:p>
    <w:p w:rsidR="00CB31D1" w:rsidRPr="00CB31D1" w:rsidRDefault="00CB31D1" w:rsidP="00CB31D1">
      <w:pPr>
        <w:spacing w:after="0" w:line="240" w:lineRule="auto"/>
        <w:ind w:left="1701" w:hanging="98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0,05 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количество обменного натрия (в % от емкости обмена) не оказывающее отрицательного влияния на свойства почвы и оставляемое в ППК; </w:t>
      </w:r>
    </w:p>
    <w:p w:rsidR="00CB31D1" w:rsidRPr="00CB31D1" w:rsidRDefault="00CB31D1" w:rsidP="00CB31D1">
      <w:pPr>
        <w:spacing w:after="0" w:line="240" w:lineRule="auto"/>
        <w:ind w:left="1701" w:hanging="98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h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мощность пахотного слоя, см; </w:t>
      </w:r>
    </w:p>
    <w:p w:rsidR="00CB31D1" w:rsidRPr="00CB31D1" w:rsidRDefault="00CB31D1" w:rsidP="00CB31D1">
      <w:pPr>
        <w:spacing w:after="0" w:line="240" w:lineRule="auto"/>
        <w:ind w:left="1701" w:hanging="98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d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V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плотность почвы, г/см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3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; </w:t>
      </w:r>
    </w:p>
    <w:p w:rsidR="00CB31D1" w:rsidRPr="00CB31D1" w:rsidRDefault="00CB31D1" w:rsidP="00CB31D1">
      <w:pPr>
        <w:spacing w:after="0" w:line="240" w:lineRule="auto"/>
        <w:ind w:left="1701" w:hanging="98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DB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содержание </w:t>
      </w: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CaSO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4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.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2Н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О в мелиоранте, %.</w:t>
      </w:r>
    </w:p>
    <w:p w:rsidR="00CB31D1" w:rsidRPr="00CB31D1" w:rsidRDefault="00CB31D1" w:rsidP="00CB31D1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В нашем случае при содержании гипса в мелиоранте 75 % его доза составит:</w:t>
      </w:r>
    </w:p>
    <w:p w:rsidR="00CB31D1" w:rsidRPr="00CB31D1" w:rsidRDefault="00CB31D1" w:rsidP="00CB31D1">
      <w:pPr>
        <w:spacing w:line="240" w:lineRule="auto"/>
        <w:ind w:firstLine="72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position w:val="-24"/>
          <w:sz w:val="28"/>
          <w:szCs w:val="28"/>
          <w:lang w:eastAsia="ru-RU"/>
        </w:rPr>
        <w:object w:dxaOrig="40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95pt;height:31.75pt" o:ole="" fillcolor="window">
            <v:imagedata r:id="rId8" o:title=""/>
          </v:shape>
          <o:OLEObject Type="Embed" ProgID="Equation.3" ShapeID="_x0000_i1025" DrawAspect="Content" ObjectID="_1501319981" r:id="rId9"/>
        </w:objec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= 7,2 т/га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Задание для самостоятельной работы:</w:t>
      </w:r>
    </w:p>
    <w:p w:rsidR="00CB31D1" w:rsidRPr="00CB31D1" w:rsidRDefault="00CB31D1" w:rsidP="00CB31D1">
      <w:pPr>
        <w:spacing w:after="0" w:line="24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По данным 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>приложения 2</w:t>
      </w:r>
      <w:r w:rsidRPr="00CB31D1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>8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необходимо:</w:t>
      </w:r>
    </w:p>
    <w:p w:rsidR="00CB31D1" w:rsidRPr="00CB31D1" w:rsidRDefault="00CB31D1" w:rsidP="00CB31D1">
      <w:pPr>
        <w:numPr>
          <w:ilvl w:val="0"/>
          <w:numId w:val="4"/>
        </w:numPr>
        <w:tabs>
          <w:tab w:val="num" w:pos="-2835"/>
        </w:tabs>
        <w:spacing w:after="0" w:line="240" w:lineRule="auto"/>
        <w:ind w:left="709" w:hanging="425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Дать агрономическую оценку физико-химическим свойствам почвы</w:t>
      </w:r>
    </w:p>
    <w:p w:rsidR="00CB31D1" w:rsidRPr="00CB31D1" w:rsidRDefault="00CB31D1" w:rsidP="00CB31D1">
      <w:pPr>
        <w:numPr>
          <w:ilvl w:val="0"/>
          <w:numId w:val="4"/>
        </w:numPr>
        <w:tabs>
          <w:tab w:val="num" w:pos="-2835"/>
        </w:tabs>
        <w:spacing w:after="0" w:line="240" w:lineRule="auto"/>
        <w:ind w:left="709" w:hanging="425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Определить потребность почвы в химической мелиорации и если необходимо рассчитать дозу мелиоранта.</w:t>
      </w:r>
    </w:p>
    <w:p w:rsidR="00CB31D1" w:rsidRPr="00CB31D1" w:rsidRDefault="00CB31D1" w:rsidP="00CB31D1">
      <w:pPr>
        <w:spacing w:before="480" w:after="48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РАБОТА 5.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ОПРЕДЕЛЕНИЕ ПОТРЕБНОСТИ ПОЧВ В ИЗВЕСТКОВАНИИ И ВЫЧИСЛЕНИЕ ДОЗ ИЗВЕСТИ</w:t>
      </w:r>
    </w:p>
    <w:p w:rsidR="00CB31D1" w:rsidRPr="00CB31D1" w:rsidRDefault="00CB31D1" w:rsidP="00CB31D1">
      <w:pPr>
        <w:widowControl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Нуждаемость почвы в известковании определяют, учитывая следующие показатели: рН солевой вытяжки, степень насыщенности основаниями, гранулометрический состав, чувствительность возделываемых растений к кислотности.</w:t>
      </w:r>
    </w:p>
    <w:p w:rsidR="00CB31D1" w:rsidRPr="00CB31D1" w:rsidRDefault="00CB31D1" w:rsidP="00CB31D1">
      <w:pPr>
        <w:widowControl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В первом приближении потребность почв в известковании можно установить по рН солевой вытяжки (</w:t>
      </w:r>
      <w:r w:rsidRPr="00CB31D1">
        <w:rPr>
          <w:rFonts w:ascii="Times New Roman" w:eastAsiaTheme="minorEastAsia" w:hAnsi="Times New Roman"/>
          <w:sz w:val="24"/>
          <w:szCs w:val="24"/>
          <w:lang w:eastAsia="ru-RU"/>
        </w:rPr>
        <w:t>КС1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), руководствуясь следующими данными:</w:t>
      </w:r>
    </w:p>
    <w:p w:rsidR="00CB31D1" w:rsidRPr="00CB31D1" w:rsidRDefault="00CB31D1" w:rsidP="00CB31D1">
      <w:pPr>
        <w:widowControl w:val="0"/>
        <w:spacing w:before="240" w:after="0" w:line="240" w:lineRule="auto"/>
        <w:ind w:firstLine="72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почва сильно нуждается в известковании, рН &lt; 4,5 ;</w:t>
      </w:r>
    </w:p>
    <w:p w:rsidR="00CB31D1" w:rsidRPr="00CB31D1" w:rsidRDefault="00CB31D1" w:rsidP="00CB31D1">
      <w:pPr>
        <w:widowControl w:val="0"/>
        <w:spacing w:after="0" w:line="240" w:lineRule="auto"/>
        <w:ind w:firstLine="72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II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почва средне нуждается в известковании, рН 4,5 – 5,0 ;</w:t>
      </w:r>
    </w:p>
    <w:p w:rsidR="00CB31D1" w:rsidRPr="00CB31D1" w:rsidRDefault="00CB31D1" w:rsidP="00CB31D1">
      <w:pPr>
        <w:widowControl w:val="0"/>
        <w:spacing w:after="0" w:line="240" w:lineRule="auto"/>
        <w:ind w:firstLine="72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III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почва слабо нуждается в известковании, рН 5,1 – 5,5 ;</w:t>
      </w:r>
    </w:p>
    <w:p w:rsidR="00CB31D1" w:rsidRPr="00CB31D1" w:rsidRDefault="00CB31D1" w:rsidP="00CB31D1">
      <w:pPr>
        <w:widowControl w:val="0"/>
        <w:spacing w:after="240" w:line="240" w:lineRule="auto"/>
        <w:ind w:firstLine="72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IV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почва не нуждается в известковании, рН &gt; 5,5.</w:t>
      </w:r>
    </w:p>
    <w:p w:rsidR="00CB31D1" w:rsidRPr="00CB31D1" w:rsidRDefault="00CB31D1" w:rsidP="001073C8">
      <w:pPr>
        <w:widowControl w:val="0"/>
        <w:spacing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Для суждения о необходимости известкования минеральных и торфяных почв с учетом их рН, степени насыщенности основаниями и гранулометрического состава можно руководствоваться следующими нормативами:</w:t>
      </w:r>
    </w:p>
    <w:p w:rsidR="00CB31D1" w:rsidRPr="00CB31D1" w:rsidRDefault="00CB31D1" w:rsidP="00CB31D1">
      <w:pPr>
        <w:widowControl w:val="0"/>
        <w:spacing w:after="0" w:line="240" w:lineRule="auto"/>
        <w:ind w:left="1701" w:hanging="1701"/>
        <w:jc w:val="both"/>
        <w:rPr>
          <w:rFonts w:ascii="Times New Roman" w:eastAsiaTheme="minorEastAsia" w:hAnsi="Times New Roman"/>
          <w:spacing w:val="-14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pacing w:val="-14"/>
          <w:sz w:val="28"/>
          <w:szCs w:val="28"/>
          <w:lang w:eastAsia="ru-RU"/>
        </w:rPr>
        <w:t xml:space="preserve">Таблица    – </w:t>
      </w:r>
      <w:r w:rsidRPr="00CB31D1">
        <w:rPr>
          <w:rFonts w:ascii="Times New Roman" w:eastAsiaTheme="minorEastAsia" w:hAnsi="Times New Roman"/>
          <w:spacing w:val="-14"/>
          <w:sz w:val="28"/>
          <w:szCs w:val="28"/>
          <w:lang w:eastAsia="ru-RU"/>
        </w:rPr>
        <w:tab/>
        <w:t>Нуждаемость почвы в известковании в зависимости от ее свойств (М. Ф. Корнилов, 1965)</w:t>
      </w:r>
    </w:p>
    <w:tbl>
      <w:tblPr>
        <w:tblW w:w="9445" w:type="dxa"/>
        <w:jc w:val="center"/>
        <w:tblInd w:w="-1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707"/>
        <w:gridCol w:w="771"/>
        <w:gridCol w:w="708"/>
        <w:gridCol w:w="993"/>
        <w:gridCol w:w="850"/>
        <w:gridCol w:w="851"/>
        <w:gridCol w:w="850"/>
        <w:gridCol w:w="851"/>
        <w:gridCol w:w="864"/>
      </w:tblGrid>
      <w:tr w:rsidR="00CB31D1" w:rsidRPr="00CB31D1" w:rsidTr="00CB31D1">
        <w:trPr>
          <w:cantSplit/>
          <w:jc w:val="center"/>
        </w:trPr>
        <w:tc>
          <w:tcPr>
            <w:tcW w:w="27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Theme="majorEastAsia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Theme="majorEastAsia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Почвы по гранулометрическому </w:t>
            </w:r>
          </w:p>
          <w:p w:rsidR="00CB31D1" w:rsidRPr="00CB31D1" w:rsidRDefault="00CB31D1" w:rsidP="00CB31D1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Theme="majorEastAsia" w:hAnsi="Times New Roman" w:cs="Times New Roman"/>
                <w:b/>
                <w:bCs/>
                <w:sz w:val="26"/>
                <w:szCs w:val="26"/>
                <w:lang w:eastAsia="ru-RU"/>
              </w:rPr>
              <w:t>составу</w:t>
            </w:r>
          </w:p>
        </w:tc>
        <w:tc>
          <w:tcPr>
            <w:tcW w:w="673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keepNext/>
              <w:keepLines/>
              <w:spacing w:after="100" w:afterAutospacing="1" w:line="240" w:lineRule="auto"/>
              <w:jc w:val="center"/>
              <w:outlineLvl w:val="1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lang w:eastAsia="ru-RU"/>
              </w:rPr>
              <w:t>Нуждаемость в известковании</w:t>
            </w:r>
          </w:p>
        </w:tc>
      </w:tr>
      <w:tr w:rsidR="00CB31D1" w:rsidRPr="00CB31D1" w:rsidTr="00CB31D1">
        <w:trPr>
          <w:cantSplit/>
          <w:trHeight w:val="346"/>
          <w:jc w:val="center"/>
        </w:trPr>
        <w:tc>
          <w:tcPr>
            <w:tcW w:w="270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keepNext/>
              <w:keepLines/>
              <w:spacing w:after="100" w:afterAutospacing="1" w:line="240" w:lineRule="auto"/>
              <w:jc w:val="center"/>
              <w:outlineLvl w:val="1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eastAsia="ru-RU"/>
              </w:rPr>
              <w:t>сильная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слабая</w:t>
            </w:r>
          </w:p>
        </w:tc>
        <w:tc>
          <w:tcPr>
            <w:tcW w:w="17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CB31D1" w:rsidRPr="00CB31D1" w:rsidTr="00CB31D1">
        <w:trPr>
          <w:cantSplit/>
          <w:jc w:val="center"/>
        </w:trPr>
        <w:tc>
          <w:tcPr>
            <w:tcW w:w="2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  <w:t>pH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  <w:t>V</w:t>
            </w: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,%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</w:pP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  <w:t>pH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</w:pP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  <w:t>V,%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</w:pP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  <w:t>pH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</w:pP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  <w:t>V,%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</w:pP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  <w:t>pH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</w:pP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  <w:t>V,%</w:t>
            </w:r>
          </w:p>
        </w:tc>
      </w:tr>
      <w:tr w:rsidR="00CB31D1" w:rsidRPr="00CB31D1" w:rsidTr="00CB31D1">
        <w:trPr>
          <w:trHeight w:val="512"/>
          <w:jc w:val="center"/>
        </w:trPr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Тяжело- и среднесуглинистые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&lt; 4,5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4,5–5,0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50–60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5,0–5,5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65–75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&gt; 5,5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&gt; 75</w:t>
            </w:r>
          </w:p>
        </w:tc>
      </w:tr>
      <w:tr w:rsidR="00CB31D1" w:rsidRPr="00CB31D1" w:rsidTr="00CB31D1">
        <w:trPr>
          <w:trHeight w:val="438"/>
          <w:jc w:val="center"/>
        </w:trPr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Легкосуглинистые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&lt; 4,5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4,5–5,0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40–60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5,0–5,5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60–70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&gt; 5,5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&gt; 70</w:t>
            </w:r>
          </w:p>
        </w:tc>
      </w:tr>
      <w:tr w:rsidR="00CB31D1" w:rsidRPr="00CB31D1" w:rsidTr="00CB31D1">
        <w:trPr>
          <w:jc w:val="center"/>
        </w:trPr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Супесчаные и </w:t>
            </w:r>
          </w:p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песчаные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&lt; 4,5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4,5–5,0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35–40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5,0–5,5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50–60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&gt; 5,5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&gt; 60</w:t>
            </w:r>
          </w:p>
        </w:tc>
      </w:tr>
      <w:tr w:rsidR="00CB31D1" w:rsidRPr="00CB31D1" w:rsidTr="00CB31D1">
        <w:trPr>
          <w:jc w:val="center"/>
        </w:trPr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Торфяные и </w:t>
            </w:r>
          </w:p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торфяно-болотные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&lt; 3,5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3,5–4,2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35–55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4,2–4,8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55–60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&gt; 4,8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&gt; 65</w:t>
            </w:r>
          </w:p>
        </w:tc>
      </w:tr>
    </w:tbl>
    <w:p w:rsidR="00CB31D1" w:rsidRPr="00CB31D1" w:rsidRDefault="00CB31D1" w:rsidP="00CB31D1">
      <w:pPr>
        <w:widowControl w:val="0"/>
        <w:spacing w:before="240"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Доза извести, необходимая для оптимизации реакции среды устанавливается по величине гидролитической кислотности в т/га. Кроме этого необходимо знать мощность пахотного слоя и его плотность.</w:t>
      </w:r>
    </w:p>
    <w:p w:rsidR="00CB31D1" w:rsidRPr="00CB31D1" w:rsidRDefault="00CB31D1" w:rsidP="00CB31D1">
      <w:pPr>
        <w:widowControl w:val="0"/>
        <w:spacing w:after="0" w:line="240" w:lineRule="auto"/>
        <w:ind w:firstLine="72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Пусть мощность пахотного слоя (Н) равна 20 см, его плотность (</w:t>
      </w: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d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V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) – 1,35 г/см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3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, гидролитическая кислотность (Н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Г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) 4,0 мг-экв на 100 г почвы. Так как известь перемешивается со всем пахотным слоем, то необходимо знать сколько в нем содержится ионов водорода на площади 1 га. Сначала находят массу пахотного слоя для этой площади, которую вычисляют по формуле:     </w:t>
      </w:r>
      <w:r w:rsidRPr="00CB31D1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>m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(т) = </w:t>
      </w:r>
      <w:r w:rsidRPr="00CB31D1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>d</w:t>
      </w:r>
      <w:r w:rsidRPr="00CB31D1">
        <w:rPr>
          <w:rFonts w:ascii="Times New Roman" w:eastAsiaTheme="minorEastAsia" w:hAnsi="Times New Roman"/>
          <w:b/>
          <w:sz w:val="28"/>
          <w:szCs w:val="28"/>
          <w:vertAlign w:val="subscript"/>
          <w:lang w:val="en-US" w:eastAsia="ru-RU"/>
        </w:rPr>
        <w:t>V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×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Н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×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100.</w:t>
      </w:r>
    </w:p>
    <w:p w:rsidR="00CB31D1" w:rsidRPr="00CB31D1" w:rsidRDefault="00CB31D1" w:rsidP="00CB31D1">
      <w:pPr>
        <w:spacing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В нашем случае вес пахотного слоя будет равен: </w:t>
      </w:r>
    </w:p>
    <w:p w:rsidR="00CB31D1" w:rsidRPr="00CB31D1" w:rsidRDefault="00CB31D1" w:rsidP="00CB31D1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>m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= 1,35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×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20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×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100 = 2700 т.</w:t>
      </w:r>
    </w:p>
    <w:p w:rsidR="00CB31D1" w:rsidRPr="00CB31D1" w:rsidRDefault="00CB31D1" w:rsidP="00CB31D1">
      <w:pPr>
        <w:widowControl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Необходимо определить количество содержащихся в нем ионов Н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+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. Поскольку в 100 г почвы содержание водорода 4,0 мг-экв или 4 мг, то в 1 кг почвы будут содержаться 40 мг или 0,04 г водорода, а во всем пахотном слое 1 га – 0,04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×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2700000 = 108000 г, или 108 кг обменного водорода.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На нейтрализацию 1 кг водорода требуется 50 кг извести, что вытекает из уравнения химической реакции:</w:t>
      </w:r>
      <w:r w:rsidRPr="00CB31D1">
        <w:rPr>
          <w:rFonts w:ascii="Times New Roman" w:eastAsiaTheme="minorEastAsia" w:hAnsi="Times New Roman"/>
          <w:position w:val="-10"/>
          <w:sz w:val="28"/>
          <w:szCs w:val="28"/>
          <w:lang w:eastAsia="ru-RU"/>
        </w:rPr>
        <w:object w:dxaOrig="180" w:dyaOrig="340">
          <v:shape id="_x0000_i1026" type="#_x0000_t75" style="width:9.15pt;height:16.45pt" o:ole="" fillcolor="window">
            <v:imagedata r:id="rId10" o:title=""/>
          </v:shape>
          <o:OLEObject Type="Embed" ProgID="Equation.3" ShapeID="_x0000_i1026" DrawAspect="Content" ObjectID="_1501319982" r:id="rId11"/>
        </w:objec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2 Н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+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+  СаСО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3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=  Са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2+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+  Н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О  +  СО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Следовательно, доза извести составляет: 108 · 50 = 5400 кг, или 5,4 т/га.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Известковые материалы могут содержать инертные примеси и иметь повышенную влажность, что необходимо учитывать при установлении дозы извести.  Окончательная формула для расчета имеет следующий вид: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oMath/>
          <w:rFonts w:ascii="Cambria Math" w:eastAsiaTheme="minorEastAsia" w:hAnsi="Cambria Math"/>
          <w:sz w:val="28"/>
          <w:szCs w:val="28"/>
          <w:lang w:eastAsia="ru-RU"/>
        </w:rPr>
      </w:pPr>
      <m:oMathPara>
        <m:oMath>
          <m:r>
            <m:rPr>
              <m:nor/>
            </m:rPr>
            <w:rPr>
              <w:rFonts w:ascii="Cambria Math" w:eastAsiaTheme="minorEastAsia" w:hAnsi="Cambria Math"/>
              <w:b/>
              <w:sz w:val="28"/>
              <w:szCs w:val="28"/>
              <w:lang w:eastAsia="ru-RU"/>
            </w:rPr>
            <m:t>Д=</m:t>
          </m:r>
          <m:f>
            <m:fPr>
              <m:ctrl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 w:eastAsiaTheme="minorEastAsia" w:hAnsi="Cambria Math"/>
                      <w:b/>
                      <w:sz w:val="28"/>
                      <w:szCs w:val="28"/>
                      <w:lang w:eastAsia="ru-RU"/>
                    </w:rPr>
                    <m:t>Н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Theme="minorEastAsia" w:hAnsi="Cambria Math"/>
                      <w:b/>
                      <w:sz w:val="28"/>
                      <w:szCs w:val="28"/>
                      <w:lang w:eastAsia="ru-RU"/>
                    </w:rPr>
                    <m:t>г</m:t>
                  </m:r>
                </m:sub>
              </m:sSub>
              <m:r>
                <m:rPr>
                  <m:nor/>
                </m:r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  <m:t>×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 w:eastAsiaTheme="minorEastAsia" w:hAnsi="Cambria Math"/>
                      <w:b/>
                      <w:sz w:val="28"/>
                      <w:szCs w:val="28"/>
                      <w:lang w:eastAsia="ru-RU"/>
                    </w:rPr>
                    <m:t>d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Theme="minorEastAsia" w:hAnsi="Cambria Math"/>
                      <w:b/>
                      <w:sz w:val="28"/>
                      <w:szCs w:val="28"/>
                      <w:lang w:eastAsia="ru-RU"/>
                    </w:rPr>
                    <m:t>v</m:t>
                  </m:r>
                </m:sub>
              </m:sSub>
              <m:r>
                <m:rPr>
                  <m:nor/>
                </m:r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  <m:t>×h×500</m:t>
              </m:r>
            </m:num>
            <m:den>
              <m:r>
                <m:rPr>
                  <m:nor/>
                </m:r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  <m:t>(100-W)×DB</m:t>
              </m:r>
            </m:den>
          </m:f>
        </m:oMath>
      </m:oMathPara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где 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Д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доза извести, т/га; 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Н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Г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гидролитическая кислотность, мг–экв/100 г почвы; 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d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V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–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плотность почвы, г/см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3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; 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h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–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мощность слоя, см; 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W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–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влажность мелиоранта, %; 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DB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–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содержание действующего вещества в мелиоранте, %.</w:t>
      </w:r>
    </w:p>
    <w:p w:rsidR="00CB31D1" w:rsidRPr="00CB31D1" w:rsidRDefault="00CB31D1" w:rsidP="00CB31D1">
      <w:pPr>
        <w:spacing w:after="0" w:line="240" w:lineRule="auto"/>
        <w:jc w:val="center"/>
        <w:rPr>
          <w:rFonts w:ascii="Times New Roman" w:eastAsiaTheme="minorEastAsia" w:hAnsi="Times New Roman"/>
          <w:b/>
          <w:sz w:val="18"/>
          <w:szCs w:val="18"/>
          <w:lang w:eastAsia="ru-RU"/>
        </w:rPr>
      </w:pP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Задание для самостоятельной работы:</w:t>
      </w:r>
    </w:p>
    <w:p w:rsidR="00CB31D1" w:rsidRPr="00CB31D1" w:rsidRDefault="00CB31D1" w:rsidP="00CB31D1">
      <w:pPr>
        <w:spacing w:after="0" w:line="24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По данным 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>приложения 27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необходимо:</w:t>
      </w:r>
    </w:p>
    <w:p w:rsidR="00CB31D1" w:rsidRPr="00CB31D1" w:rsidRDefault="00CB31D1" w:rsidP="00CB31D1">
      <w:pPr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Дать агрономическую оценку физико-химическим свойствам почвы.</w:t>
      </w:r>
    </w:p>
    <w:p w:rsidR="00CB31D1" w:rsidRDefault="00CB31D1" w:rsidP="00CB31D1">
      <w:pPr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Определить потребность почвы в химической мелиорации и если необходимо рассчитать дозу мелиоранта.</w:t>
      </w:r>
    </w:p>
    <w:p w:rsidR="001073C8" w:rsidRPr="00CB31D1" w:rsidRDefault="001073C8" w:rsidP="001073C8">
      <w:pPr>
        <w:spacing w:after="0" w:line="240" w:lineRule="auto"/>
        <w:ind w:left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CB31D1" w:rsidRDefault="001073C8" w:rsidP="00CB31D1">
      <w:pPr>
        <w:tabs>
          <w:tab w:val="left" w:pos="3700"/>
        </w:tabs>
        <w:spacing w:before="480" w:after="48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6</w:t>
      </w:r>
      <w:r w:rsidR="00CB31D1" w:rsidRPr="00C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АГРОЭКОЛОГИЧЕСКАЯ ОЦЕНКА ПОЧВ ВБЛИЗИ ТРАНСПОРТНЫХ МАГИСТРАЛЕЙ</w:t>
      </w:r>
    </w:p>
    <w:p w:rsidR="001073C8" w:rsidRPr="00CB31D1" w:rsidRDefault="001073C8" w:rsidP="00CB31D1">
      <w:pPr>
        <w:tabs>
          <w:tab w:val="left" w:pos="3700"/>
        </w:tabs>
        <w:spacing w:before="480" w:after="48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31D1" w:rsidRPr="00CB31D1" w:rsidRDefault="00CB31D1" w:rsidP="00CB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Установлено, что на землях, прилегающих к автодорогам, на расстоянии 20 – </w:t>
      </w:r>
      <w:smartTag w:uri="urn:schemas-microsoft-com:office:smarttags" w:element="metricconverter">
        <w:smartTagPr>
          <w:attr w:name="ProductID" w:val="30 м"/>
        </w:smartTagPr>
        <w:r w:rsidRPr="00CB31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30 м</w:t>
        </w:r>
      </w:smartTag>
      <w:r w:rsidRP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полотна дороги значительно концентрируются  химические элементы: барий, хром, марганец, кобальт, медь. Максимальное накопление свинца, титана, никеля наблюдается на расстоянии 50 м.</w:t>
      </w:r>
    </w:p>
    <w:p w:rsidR="00CB31D1" w:rsidRPr="00CB31D1" w:rsidRDefault="00CB31D1" w:rsidP="00CB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В обрабатываемом горизонте черноземных почв фоновое содержащие этих металлов и их ПДК отражает таблица. </w:t>
      </w:r>
    </w:p>
    <w:p w:rsidR="00CB31D1" w:rsidRPr="00CB31D1" w:rsidRDefault="00CB31D1" w:rsidP="00CB31D1">
      <w:pPr>
        <w:tabs>
          <w:tab w:val="left" w:pos="-2694"/>
        </w:tabs>
        <w:spacing w:before="120"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–  Содержание и ПДК Ме в черноземных почвах, мг/кг </w:t>
      </w:r>
    </w:p>
    <w:tbl>
      <w:tblPr>
        <w:tblStyle w:val="a9"/>
        <w:tblW w:w="0" w:type="auto"/>
        <w:tblInd w:w="108" w:type="dxa"/>
        <w:tblLook w:val="01E0"/>
      </w:tblPr>
      <w:tblGrid>
        <w:gridCol w:w="2694"/>
        <w:gridCol w:w="708"/>
        <w:gridCol w:w="606"/>
        <w:gridCol w:w="1237"/>
        <w:gridCol w:w="851"/>
        <w:gridCol w:w="1134"/>
        <w:gridCol w:w="567"/>
        <w:gridCol w:w="850"/>
        <w:gridCol w:w="816"/>
      </w:tblGrid>
      <w:tr w:rsidR="00CB31D1" w:rsidRPr="00CB31D1" w:rsidTr="00CB31D1">
        <w:tc>
          <w:tcPr>
            <w:tcW w:w="269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Химический элемент</w:t>
            </w:r>
          </w:p>
        </w:tc>
        <w:tc>
          <w:tcPr>
            <w:tcW w:w="708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Ва</w:t>
            </w:r>
          </w:p>
        </w:tc>
        <w:tc>
          <w:tcPr>
            <w:tcW w:w="60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Cr</w:t>
            </w:r>
          </w:p>
        </w:tc>
        <w:tc>
          <w:tcPr>
            <w:tcW w:w="1237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Mn</w:t>
            </w:r>
          </w:p>
        </w:tc>
        <w:tc>
          <w:tcPr>
            <w:tcW w:w="851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Со</w:t>
            </w:r>
          </w:p>
        </w:tc>
        <w:tc>
          <w:tcPr>
            <w:tcW w:w="113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Cu</w:t>
            </w:r>
          </w:p>
        </w:tc>
        <w:tc>
          <w:tcPr>
            <w:tcW w:w="567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Pb</w:t>
            </w:r>
          </w:p>
        </w:tc>
        <w:tc>
          <w:tcPr>
            <w:tcW w:w="850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</w:t>
            </w: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i</w:t>
            </w:r>
          </w:p>
        </w:tc>
        <w:tc>
          <w:tcPr>
            <w:tcW w:w="81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Ni</w:t>
            </w:r>
          </w:p>
        </w:tc>
      </w:tr>
      <w:tr w:rsidR="00CB31D1" w:rsidRPr="00CB31D1" w:rsidTr="00CB31D1">
        <w:tc>
          <w:tcPr>
            <w:tcW w:w="269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Содержание в почвах</w:t>
            </w:r>
          </w:p>
        </w:tc>
        <w:tc>
          <w:tcPr>
            <w:tcW w:w="708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60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1237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ind w:left="-147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550 – 900</w:t>
            </w:r>
          </w:p>
        </w:tc>
        <w:tc>
          <w:tcPr>
            <w:tcW w:w="851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 – 15</w:t>
            </w:r>
          </w:p>
        </w:tc>
        <w:tc>
          <w:tcPr>
            <w:tcW w:w="113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 – 30</w:t>
            </w:r>
          </w:p>
        </w:tc>
        <w:tc>
          <w:tcPr>
            <w:tcW w:w="567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850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4000</w:t>
            </w:r>
          </w:p>
        </w:tc>
        <w:tc>
          <w:tcPr>
            <w:tcW w:w="81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</w:tr>
      <w:tr w:rsidR="00CB31D1" w:rsidRPr="00CB31D1" w:rsidTr="00CB31D1">
        <w:tc>
          <w:tcPr>
            <w:tcW w:w="269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ПДК в почвах</w:t>
            </w:r>
          </w:p>
        </w:tc>
        <w:tc>
          <w:tcPr>
            <w:tcW w:w="708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200</w:t>
            </w:r>
          </w:p>
        </w:tc>
        <w:tc>
          <w:tcPr>
            <w:tcW w:w="60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237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ind w:left="-147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851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13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567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850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5000</w:t>
            </w:r>
          </w:p>
        </w:tc>
        <w:tc>
          <w:tcPr>
            <w:tcW w:w="81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</w:tr>
    </w:tbl>
    <w:p w:rsidR="001073C8" w:rsidRDefault="001073C8" w:rsidP="00CB31D1">
      <w:pPr>
        <w:tabs>
          <w:tab w:val="left" w:pos="3700"/>
        </w:tabs>
        <w:spacing w:before="240"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before="240"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установите при агроэкологической оценке почв, какие токсиканты и на каком расстоянии от дорог следует отслеживать прежде всего. </w:t>
      </w:r>
    </w:p>
    <w:p w:rsidR="00CB31D1" w:rsidRPr="00CB31D1" w:rsidRDefault="001073C8" w:rsidP="00CB31D1">
      <w:pPr>
        <w:spacing w:before="480" w:after="480" w:line="240" w:lineRule="auto"/>
        <w:jc w:val="center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РАБОТА 7</w:t>
      </w:r>
      <w:r w:rsidR="00CB31D1"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 КОНТРОЛЬ НАД ОПОЛЗНЯМИ И ИХ ПРОГНОЗ</w:t>
      </w: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Оползни, вызванные хозяйственной деятельностью человека, в основном, связаны с перегрузкой оползневых склонов насыпями и различными инженерными сооружениями, утечкой воды и водопроводных коммуникаций, закрытием выходов подземных вод и др. </w:t>
      </w: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Очень опасны для устойчивости берегов суточные колебания в нижних бьефах ГЭС и зимний расход воды из водохранилищ. В связи с этим важное значение имеют всесторонняя оценка состояния склонов, прогноз последствий проектируемых земляных работ и качественное выполнение инженерно-геологических изысканий.</w:t>
      </w: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Большую часть потенциальных оползней можно предотвратить если своевременно принять меры в начальной стадии их развития. Среди различных мероприятий особенно важное значение имеют контроль и прогнозирование оползневых процессов. Они необходимы для расположения обьектов в безопасных местах; своевременного предупреждения возникновения новых или предотвращения опасной величины и скорости смещения уже существующих оползней, выявление необходимости борьбы с оползнями или возможности эксплуатации объектов без укрепления склона.</w:t>
      </w: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предотвращения возникновения оползней необходимо организовать контроль за состоянием склонов и соблюдением охранно-противооползневого режима, а так же проводить комплекс противооползневого режима, а так же проводить комплекс противооползневых мероприятий с учётом гидрогеологических условий и характеристики оползневого участка. Необходимые для этого данные наносят на крупномасштабные карты. На них должны быть указаны: устойчивость склонов; возможность производства земных работ; гидрологические условия района; возвышенности и косогоры; месторасположение стоков, дренажных бассейнов, затопляемых участков и распределение подземных вод. На эти же карты наносят места прошлых оползней и районы возможного оползания. К карте прилагается пояснительная записка с подробным описанием оползневого района (участка). Теоретический прогноз оползней достаточно сложный, как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правило, производится специалистами оползневых станций (по данным многолетних наблюдений) и может быть только вероятным.</w:t>
      </w: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Принципиальная схема вероятного прогноза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возникновения нового оползня на естественном склоне в заданном районе и в заданный период времени Т</w:t>
      </w:r>
      <w:r w:rsidRPr="00CB31D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(по Е.П. Емельянову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) состоит в следующем:</w:t>
      </w:r>
    </w:p>
    <w:p w:rsidR="00CB31D1" w:rsidRPr="00CB31D1" w:rsidRDefault="00CB31D1" w:rsidP="00CB31D1">
      <w:pPr>
        <w:spacing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Получение необходимых данных:</w:t>
      </w:r>
    </w:p>
    <w:p w:rsidR="00CB31D1" w:rsidRPr="00CB31D1" w:rsidRDefault="00CB31D1" w:rsidP="00CB31D1">
      <w:pPr>
        <w:widowControl w:val="0"/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1.1.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Определяют среднюю годовую величину коэффициента 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н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устойчивости данного склона в настоящее время (т.е. на начало периода Т),  под которым понимают отношение суммарного сопротивления сдвигу вдоль какой либо потенциальной поверхности скольжения к сумме сдвигающих усилий вдоль этой поверхности:</w:t>
      </w:r>
    </w:p>
    <w:p w:rsidR="00CB31D1" w:rsidRPr="00CB31D1" w:rsidRDefault="00CB31D1" w:rsidP="00CB31D1">
      <w:pPr>
        <w:widowControl w:val="0"/>
        <w:spacing w:before="120"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perscript"/>
          <w:lang w:eastAsia="ru-RU"/>
        </w:rPr>
        <w:t>н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>ср 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= ∑ С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Δl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 xml:space="preserve">  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/ ∑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t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Δl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</w:t>
      </w:r>
    </w:p>
    <w:p w:rsidR="00CB31D1" w:rsidRPr="00CB31D1" w:rsidRDefault="00CB31D1" w:rsidP="00CB31D1">
      <w:pPr>
        <w:spacing w:after="0" w:line="240" w:lineRule="auto"/>
        <w:ind w:left="993" w:hanging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где: </w:t>
      </w:r>
    </w:p>
    <w:p w:rsidR="00CB31D1" w:rsidRPr="00CB31D1" w:rsidRDefault="00CB31D1" w:rsidP="00CB31D1">
      <w:pPr>
        <w:spacing w:after="0" w:line="240" w:lineRule="auto"/>
        <w:ind w:left="993" w:hanging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 xml:space="preserve"> 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сопротивление сдвигу на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-том участке, </w:t>
      </w:r>
    </w:p>
    <w:p w:rsidR="00CB31D1" w:rsidRPr="00CB31D1" w:rsidRDefault="00CB31D1" w:rsidP="00CB31D1">
      <w:pPr>
        <w:spacing w:after="0" w:line="240" w:lineRule="auto"/>
        <w:ind w:left="993" w:hanging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t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 xml:space="preserve">   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касательная напряжения, </w:t>
      </w:r>
    </w:p>
    <w:p w:rsidR="00CB31D1" w:rsidRPr="00CB31D1" w:rsidRDefault="00CB31D1" w:rsidP="00CB31D1">
      <w:pPr>
        <w:spacing w:after="0" w:line="240" w:lineRule="auto"/>
        <w:ind w:left="993" w:hanging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Δl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абсолютная деформация.</w:t>
      </w:r>
    </w:p>
    <w:p w:rsidR="00CB31D1" w:rsidRPr="00CB31D1" w:rsidRDefault="00CB31D1" w:rsidP="00CB31D1">
      <w:pPr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1.2.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Рассчитывают среднюю скорость необратимых изменений коэффициента устойчивости склона (за год в настоящее время и ее прогноз на период Т):</w:t>
      </w:r>
    </w:p>
    <w:p w:rsidR="00CB31D1" w:rsidRPr="00CB31D1" w:rsidRDefault="00CB31D1" w:rsidP="00CB31D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Δ К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>ср 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= ƒ (Т);</w:t>
      </w:r>
    </w:p>
    <w:p w:rsidR="00CB31D1" w:rsidRPr="00CB31D1" w:rsidRDefault="00CB31D1" w:rsidP="00CB31D1">
      <w:pPr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1.3.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Определяют зависимость амплитуды А обратимых колебаний коэффициента устойчивости склона от показателей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F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соответствующих факторов:</w:t>
      </w:r>
    </w:p>
    <w:p w:rsidR="00CB31D1" w:rsidRPr="00CB31D1" w:rsidRDefault="00CB31D1" w:rsidP="00CB31D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 = ƒ (∑ 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F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);</w:t>
      </w:r>
    </w:p>
    <w:p w:rsidR="00CB31D1" w:rsidRPr="00CB31D1" w:rsidRDefault="00CB31D1" w:rsidP="00CB31D1">
      <w:pPr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1.4.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Рассчитывают среднюю величину готовой амплитуды 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отрицательного отклонения коэффициента устойчивости склона и вероятной максимальной её величины 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 период Т.</w:t>
      </w:r>
    </w:p>
    <w:p w:rsidR="00CB31D1" w:rsidRPr="00CB31D1" w:rsidRDefault="00CB31D1" w:rsidP="00CB31D1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Анализ данных:</w:t>
      </w:r>
    </w:p>
    <w:p w:rsidR="00CB31D1" w:rsidRPr="00CB31D1" w:rsidRDefault="00CB31D1" w:rsidP="00CB31D1">
      <w:pPr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2.1.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Определяют возможность оползня: конечная средняя готовая величина коэффициента устойчивости склона 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прогнозируемого периода Т составит </w:t>
      </w:r>
    </w:p>
    <w:p w:rsidR="00CB31D1" w:rsidRPr="00CB31D1" w:rsidRDefault="00CB31D1" w:rsidP="00CB31D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perscript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>ср 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= К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perscript"/>
          <w:lang w:eastAsia="ru-RU"/>
        </w:rPr>
        <w:t>н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 xml:space="preserve">ср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– Т × Δ К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</w:t>
      </w:r>
    </w:p>
    <w:p w:rsidR="00CB31D1" w:rsidRPr="00CB31D1" w:rsidRDefault="00CB31D1" w:rsidP="00CB31D1">
      <w:p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</w:t>
      </w:r>
    </w:p>
    <w:p w:rsidR="00CB31D1" w:rsidRPr="00CB31D1" w:rsidRDefault="00CB31D1" w:rsidP="00CB31D1">
      <w:p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ср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&gt;1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–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оползень маловероятен;</w:t>
      </w:r>
    </w:p>
    <w:p w:rsidR="00CB31D1" w:rsidRPr="00CB31D1" w:rsidRDefault="00CB31D1" w:rsidP="00CB31D1">
      <w:p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ср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 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&lt;1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–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оползень возможен;</w:t>
      </w:r>
    </w:p>
    <w:p w:rsidR="00CB31D1" w:rsidRPr="00CB31D1" w:rsidRDefault="00CB31D1" w:rsidP="00CB31D1">
      <w:p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ср 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&lt;1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–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вероятность оползня очень велика;</w:t>
      </w:r>
    </w:p>
    <w:p w:rsidR="00CB31D1" w:rsidRPr="00CB31D1" w:rsidRDefault="00CB31D1" w:rsidP="00CB31D1">
      <w:pPr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2.2.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Рассчитывают вероятное время t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оп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смещение оползня (лет от начала прогнозируемого периода).  Т.е. наиболее вероятное смещение оползня в период от ( 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н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–1)  / ΔК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ср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 ( 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н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ср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–1)  / ΔК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CB31D1" w:rsidRPr="00CB31D1" w:rsidRDefault="00CB31D1" w:rsidP="00CB31D1">
      <w:pPr>
        <w:spacing w:before="120"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Пример.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CB31D1" w:rsidRPr="00CB31D1" w:rsidRDefault="00CB31D1" w:rsidP="00CB31D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Задача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: Определить вероятное время возникновения оползня в горизонтальных склонах.</w:t>
      </w:r>
    </w:p>
    <w:p w:rsidR="00CB31D1" w:rsidRPr="00CB31D1" w:rsidRDefault="00CB31D1" w:rsidP="00CB31D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Исходные данные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CB31D1" w:rsidRPr="00CB31D1" w:rsidRDefault="00CB31D1" w:rsidP="00CB31D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Прогнозируемый период Т = 50 лет; значение среднего начального коэффициента устойчивости склона 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н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= 1,27; сравнительно равномерный подмыв подошвы склона и сопутствующие процессы обуславливают среднее годовое уменьшение коэффициента его устойчивости Δ 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н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ср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= 5 × 10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-3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; среднее годовое отрицательное отклонение коэффициента устойчивости склона в результате колебаний его водонасыщения и пригрузки основания наносами 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= ± 3 × 10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-2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; максимальное негативное отклонение коэффициента устойчивости склона за 50 лет (соответствующее наиболее неблагоприятному сочетанию факторов в течение года 2%-й обеспеченности) 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= – 0,1.</w:t>
      </w:r>
    </w:p>
    <w:p w:rsidR="00CB31D1" w:rsidRPr="00CB31D1" w:rsidRDefault="00CB31D1" w:rsidP="00CB31D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Решение. </w:t>
      </w:r>
    </w:p>
    <w:p w:rsidR="00CB31D1" w:rsidRPr="00CB31D1" w:rsidRDefault="00CB31D1" w:rsidP="00CB31D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Наиболее вероятное смещение оползня следует ожидать в период от (1,27–0,01–1,0)  / 0,005 до (1,27–0,03–0,1)  / 0,005,  т.е. через 34 – 48 лет. </w:t>
      </w: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Следовательно, возведение на этом склоне объекта со сроком амортизации 50 лет и более требует дополнительного проведения противооползневых мероприятий. Тем не менее, временные (рассчитанные на 10 – 15 лет) объекты в настоящее время и ближайшие годы возводить можно.</w:t>
      </w:r>
    </w:p>
    <w:p w:rsidR="00CB31D1" w:rsidRPr="00CB31D1" w:rsidRDefault="00CB31D1" w:rsidP="00CB31D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На практике обычно заблаговременно выявляют условие, изменения которого способно вызвать оползни участка склона, и выполняют все противооползневые мероприятия, повышают устойчивость пород почвы. </w:t>
      </w:r>
    </w:p>
    <w:p w:rsidR="00CB31D1" w:rsidRPr="00CB31D1" w:rsidRDefault="00CB31D1" w:rsidP="00CB31D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этого в пределах оползневых участков организуют постоянное наблюдение с целью выявления причин возникновения оползневых смещений, изучения их динамики и определения противооползневых мероприятий. Наблюдения ведут специальные посты со специалистами оползневых ситуаций, в задачу которых входит контроль за колебанием уровня воды в колодцах дренажных сооружений, в буровых скважинах, реках, озёрах и водохранилищах; за режимом подземных вод; скоростью и направлением оползневых смещений; выпадением и стоком атмосферных осадков. На наиболее ответственных участках такие посты оборудуют створы глубинных реперов и наблюдают за ними. В качестве реперов используют буровые штанги длинной 2 – 2,5 метра. В  районах глубокого промерзания штанги- реперы устанавливают на глубину до 3 метров и заливают раствором цемента. Особенно внимательно наблюдение за реперами ведут в осенне-весенний период, когда выпадает наибольшее количество осадков (являющихся одной из основных причин возникновения оползней). </w:t>
      </w:r>
    </w:p>
    <w:p w:rsidR="00CB31D1" w:rsidRPr="00CB31D1" w:rsidRDefault="00CB31D1" w:rsidP="00CB31D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основании анализа результатов проведённых наблюдений выявляют оползневые районы и выполняют противооползневые работы на тех участках, где зафиксировано смещение пород.</w:t>
      </w:r>
    </w:p>
    <w:p w:rsidR="00CB31D1" w:rsidRDefault="00CB31D1" w:rsidP="00CB31D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ходе настоящей работы на основании полученного индивидуального задания необходимо рассчитать вероятность появления оползня и результаты оформить в виде таблицы.</w:t>
      </w:r>
    </w:p>
    <w:p w:rsidR="001073C8" w:rsidRPr="00CB31D1" w:rsidRDefault="001073C8" w:rsidP="00CB31D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122"/>
        <w:tblW w:w="0" w:type="auto"/>
        <w:tblLook w:val="04A0"/>
      </w:tblPr>
      <w:tblGrid>
        <w:gridCol w:w="8613"/>
        <w:gridCol w:w="958"/>
      </w:tblGrid>
      <w:tr w:rsidR="00CB31D1" w:rsidRPr="00CB31D1" w:rsidTr="00CB31D1">
        <w:trPr>
          <w:trHeight w:val="289"/>
        </w:trPr>
        <w:tc>
          <w:tcPr>
            <w:tcW w:w="8613" w:type="dxa"/>
            <w:vAlign w:val="center"/>
          </w:tcPr>
          <w:p w:rsidR="00CB31D1" w:rsidRPr="00CB31D1" w:rsidRDefault="00CB31D1" w:rsidP="00CB31D1">
            <w:pPr>
              <w:rPr>
                <w:b/>
              </w:rPr>
            </w:pPr>
            <w:r w:rsidRPr="00CB31D1">
              <w:rPr>
                <w:b/>
              </w:rPr>
              <w:lastRenderedPageBreak/>
              <w:t>Показатели</w:t>
            </w:r>
          </w:p>
        </w:tc>
        <w:tc>
          <w:tcPr>
            <w:tcW w:w="958" w:type="dxa"/>
            <w:vAlign w:val="center"/>
          </w:tcPr>
          <w:p w:rsidR="00CB31D1" w:rsidRPr="00CB31D1" w:rsidRDefault="00CB31D1" w:rsidP="00CB31D1">
            <w:pPr>
              <w:rPr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8613" w:type="dxa"/>
            <w:vAlign w:val="center"/>
          </w:tcPr>
          <w:p w:rsidR="00CB31D1" w:rsidRPr="00CB31D1" w:rsidRDefault="00CB31D1" w:rsidP="00CB31D1">
            <w:pPr>
              <w:numPr>
                <w:ilvl w:val="0"/>
                <w:numId w:val="15"/>
              </w:numPr>
              <w:ind w:hanging="436"/>
              <w:contextualSpacing/>
              <w:jc w:val="both"/>
            </w:pPr>
            <w:r w:rsidRPr="00CB31D1">
              <w:t xml:space="preserve">Прогнозируемый период </w:t>
            </w:r>
            <w:r w:rsidRPr="00CB31D1">
              <w:rPr>
                <w:b/>
              </w:rPr>
              <w:t>(Т),</w:t>
            </w:r>
            <w:r w:rsidRPr="00CB31D1">
              <w:t xml:space="preserve"> лет</w:t>
            </w:r>
          </w:p>
        </w:tc>
        <w:tc>
          <w:tcPr>
            <w:tcW w:w="958" w:type="dxa"/>
            <w:vAlign w:val="center"/>
          </w:tcPr>
          <w:p w:rsidR="00CB31D1" w:rsidRPr="00CB31D1" w:rsidRDefault="00CB31D1" w:rsidP="00CB31D1">
            <w:pPr>
              <w:rPr>
                <w:sz w:val="24"/>
                <w:szCs w:val="24"/>
              </w:rPr>
            </w:pPr>
          </w:p>
        </w:tc>
      </w:tr>
      <w:tr w:rsidR="00CB31D1" w:rsidRPr="00CB31D1" w:rsidTr="00CB31D1">
        <w:trPr>
          <w:cantSplit/>
          <w:trHeight w:val="276"/>
        </w:trPr>
        <w:tc>
          <w:tcPr>
            <w:tcW w:w="8613" w:type="dxa"/>
            <w:vAlign w:val="center"/>
          </w:tcPr>
          <w:p w:rsidR="00CB31D1" w:rsidRPr="00CB31D1" w:rsidRDefault="00CB31D1" w:rsidP="00CB31D1">
            <w:pPr>
              <w:numPr>
                <w:ilvl w:val="0"/>
                <w:numId w:val="15"/>
              </w:numPr>
              <w:ind w:hanging="436"/>
              <w:contextualSpacing/>
              <w:jc w:val="both"/>
            </w:pPr>
            <w:r w:rsidRPr="00CB31D1">
              <w:t xml:space="preserve">Средний начальный коэффициент устойчивости склона  </w:t>
            </w:r>
            <w:r w:rsidRPr="00CB31D1">
              <w:rPr>
                <w:b/>
              </w:rPr>
              <w:t>(К</w:t>
            </w:r>
            <w:r w:rsidRPr="00CB31D1">
              <w:rPr>
                <w:b/>
                <w:vertAlign w:val="superscript"/>
              </w:rPr>
              <w:t>н</w:t>
            </w:r>
            <w:r w:rsidRPr="00CB31D1">
              <w:rPr>
                <w:b/>
                <w:vertAlign w:val="subscript"/>
              </w:rPr>
              <w:t>ср</w:t>
            </w:r>
            <w:r w:rsidRPr="00CB31D1">
              <w:rPr>
                <w:b/>
              </w:rPr>
              <w:t>)</w:t>
            </w:r>
          </w:p>
        </w:tc>
        <w:tc>
          <w:tcPr>
            <w:tcW w:w="958" w:type="dxa"/>
            <w:vAlign w:val="center"/>
          </w:tcPr>
          <w:p w:rsidR="00CB31D1" w:rsidRPr="00CB31D1" w:rsidRDefault="00CB31D1" w:rsidP="00CB31D1"/>
        </w:tc>
      </w:tr>
      <w:tr w:rsidR="00CB31D1" w:rsidRPr="00CB31D1" w:rsidTr="00CB31D1">
        <w:trPr>
          <w:cantSplit/>
          <w:trHeight w:val="699"/>
        </w:trPr>
        <w:tc>
          <w:tcPr>
            <w:tcW w:w="8613" w:type="dxa"/>
            <w:vAlign w:val="center"/>
          </w:tcPr>
          <w:p w:rsidR="00CB31D1" w:rsidRPr="00CB31D1" w:rsidRDefault="00CB31D1" w:rsidP="00CB31D1">
            <w:pPr>
              <w:numPr>
                <w:ilvl w:val="0"/>
                <w:numId w:val="15"/>
              </w:numPr>
              <w:ind w:hanging="436"/>
              <w:contextualSpacing/>
              <w:jc w:val="both"/>
            </w:pPr>
            <w:r w:rsidRPr="00CB31D1">
              <w:t xml:space="preserve">Среднее годовое отклонение коэффициента устойчивости склона </w:t>
            </w:r>
            <w:r w:rsidRPr="00CB31D1">
              <w:rPr>
                <w:b/>
              </w:rPr>
              <w:t>(А</w:t>
            </w:r>
            <w:r w:rsidRPr="00CB31D1">
              <w:rPr>
                <w:b/>
                <w:vertAlign w:val="subscript"/>
              </w:rPr>
              <w:t>ср</w:t>
            </w:r>
            <w:r w:rsidRPr="00CB31D1">
              <w:rPr>
                <w:b/>
              </w:rPr>
              <w:t>)</w:t>
            </w:r>
          </w:p>
        </w:tc>
        <w:tc>
          <w:tcPr>
            <w:tcW w:w="958" w:type="dxa"/>
            <w:vAlign w:val="center"/>
          </w:tcPr>
          <w:p w:rsidR="00CB31D1" w:rsidRPr="00CB31D1" w:rsidRDefault="00CB31D1" w:rsidP="00CB31D1"/>
        </w:tc>
      </w:tr>
      <w:tr w:rsidR="00CB31D1" w:rsidRPr="00CB31D1" w:rsidTr="00CB31D1">
        <w:trPr>
          <w:cantSplit/>
          <w:trHeight w:val="695"/>
        </w:trPr>
        <w:tc>
          <w:tcPr>
            <w:tcW w:w="8613" w:type="dxa"/>
            <w:vAlign w:val="center"/>
          </w:tcPr>
          <w:p w:rsidR="00CB31D1" w:rsidRPr="00CB31D1" w:rsidRDefault="00CB31D1" w:rsidP="00CB31D1">
            <w:pPr>
              <w:numPr>
                <w:ilvl w:val="0"/>
                <w:numId w:val="15"/>
              </w:numPr>
              <w:ind w:hanging="436"/>
              <w:contextualSpacing/>
              <w:jc w:val="both"/>
            </w:pPr>
            <w:r w:rsidRPr="00CB31D1">
              <w:t xml:space="preserve">Максимальное негативное отклонение коэффициента устойчивости склона за Т лет склона </w:t>
            </w:r>
            <w:r w:rsidRPr="00CB31D1">
              <w:rPr>
                <w:b/>
              </w:rPr>
              <w:t>(А</w:t>
            </w:r>
            <w:r w:rsidRPr="00CB31D1">
              <w:rPr>
                <w:b/>
                <w:vertAlign w:val="subscript"/>
              </w:rPr>
              <w:t>max</w:t>
            </w:r>
            <w:r w:rsidRPr="00CB31D1">
              <w:rPr>
                <w:b/>
              </w:rPr>
              <w:t>)</w:t>
            </w:r>
          </w:p>
        </w:tc>
        <w:tc>
          <w:tcPr>
            <w:tcW w:w="958" w:type="dxa"/>
            <w:vAlign w:val="center"/>
          </w:tcPr>
          <w:p w:rsidR="00CB31D1" w:rsidRPr="00CB31D1" w:rsidRDefault="00CB31D1" w:rsidP="00CB31D1">
            <w:pPr>
              <w:rPr>
                <w:sz w:val="24"/>
                <w:szCs w:val="24"/>
              </w:rPr>
            </w:pPr>
          </w:p>
        </w:tc>
      </w:tr>
      <w:tr w:rsidR="00CB31D1" w:rsidRPr="00CB31D1" w:rsidTr="00CB31D1">
        <w:trPr>
          <w:cantSplit/>
          <w:trHeight w:val="704"/>
        </w:trPr>
        <w:tc>
          <w:tcPr>
            <w:tcW w:w="8613" w:type="dxa"/>
            <w:vAlign w:val="center"/>
          </w:tcPr>
          <w:p w:rsidR="00CB31D1" w:rsidRPr="00CB31D1" w:rsidRDefault="00CB31D1" w:rsidP="00CB31D1">
            <w:pPr>
              <w:numPr>
                <w:ilvl w:val="0"/>
                <w:numId w:val="15"/>
              </w:numPr>
              <w:ind w:hanging="436"/>
              <w:contextualSpacing/>
              <w:jc w:val="both"/>
            </w:pPr>
            <w:r w:rsidRPr="00CB31D1">
              <w:t xml:space="preserve">Конечная средняя годовая величина коэффициента устойчивости склона </w:t>
            </w:r>
            <w:r w:rsidRPr="00CB31D1">
              <w:rPr>
                <w:b/>
              </w:rPr>
              <w:t>(К</w:t>
            </w:r>
            <w:r w:rsidRPr="00CB31D1">
              <w:rPr>
                <w:b/>
                <w:vertAlign w:val="superscript"/>
              </w:rPr>
              <w:t>к</w:t>
            </w:r>
            <w:r w:rsidRPr="00CB31D1">
              <w:rPr>
                <w:b/>
                <w:vertAlign w:val="subscript"/>
              </w:rPr>
              <w:t>ср</w:t>
            </w:r>
            <w:r w:rsidRPr="00CB31D1">
              <w:rPr>
                <w:b/>
              </w:rPr>
              <w:t>)</w:t>
            </w:r>
          </w:p>
        </w:tc>
        <w:tc>
          <w:tcPr>
            <w:tcW w:w="958" w:type="dxa"/>
            <w:vAlign w:val="center"/>
          </w:tcPr>
          <w:p w:rsidR="00CB31D1" w:rsidRPr="00CB31D1" w:rsidRDefault="00CB31D1" w:rsidP="00CB31D1">
            <w:pPr>
              <w:rPr>
                <w:sz w:val="24"/>
                <w:szCs w:val="24"/>
              </w:rPr>
            </w:pPr>
          </w:p>
        </w:tc>
      </w:tr>
      <w:tr w:rsidR="00CB31D1" w:rsidRPr="00CB31D1" w:rsidTr="00CB31D1">
        <w:trPr>
          <w:cantSplit/>
          <w:trHeight w:val="420"/>
        </w:trPr>
        <w:tc>
          <w:tcPr>
            <w:tcW w:w="8613" w:type="dxa"/>
            <w:vAlign w:val="center"/>
          </w:tcPr>
          <w:p w:rsidR="00CB31D1" w:rsidRPr="00CB31D1" w:rsidRDefault="00CB31D1" w:rsidP="00CB31D1">
            <w:pPr>
              <w:numPr>
                <w:ilvl w:val="0"/>
                <w:numId w:val="15"/>
              </w:numPr>
              <w:ind w:hanging="436"/>
              <w:contextualSpacing/>
            </w:pPr>
            <w:r w:rsidRPr="00CB31D1">
              <w:t>Вероятность возникновения оползня</w:t>
            </w:r>
          </w:p>
        </w:tc>
        <w:tc>
          <w:tcPr>
            <w:tcW w:w="958" w:type="dxa"/>
          </w:tcPr>
          <w:p w:rsidR="00CB31D1" w:rsidRPr="00CB31D1" w:rsidRDefault="00CB31D1" w:rsidP="00CB31D1">
            <w:pPr>
              <w:jc w:val="both"/>
              <w:rPr>
                <w:sz w:val="24"/>
                <w:szCs w:val="24"/>
              </w:rPr>
            </w:pPr>
          </w:p>
        </w:tc>
      </w:tr>
    </w:tbl>
    <w:p w:rsidR="00CB31D1" w:rsidRPr="00CB31D1" w:rsidRDefault="00CB31D1" w:rsidP="00CB31D1">
      <w:pPr>
        <w:spacing w:before="240" w:after="12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Основные противооползневые мероприятия и борьба с оползнями</w:t>
      </w:r>
    </w:p>
    <w:p w:rsidR="00CB31D1" w:rsidRPr="00CB31D1" w:rsidRDefault="00CB31D1" w:rsidP="00CB31D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Борьба с оползнями основана на обеспечении устойчивости склонов. Общими противооползневыми мероприятиями для оползней всех видов являются:</w:t>
      </w:r>
    </w:p>
    <w:p w:rsidR="00CB31D1" w:rsidRPr="00CB31D1" w:rsidRDefault="00CB31D1" w:rsidP="00CB31D1">
      <w:p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Отвод поверхностных вод, притекающих к оползневому участку стороны (устройство нагорных канав);</w:t>
      </w:r>
    </w:p>
    <w:p w:rsidR="00CB31D1" w:rsidRPr="00CB31D1" w:rsidRDefault="00CB31D1" w:rsidP="00CB31D1">
      <w:p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Отвод атмосферных вод с поверхности оползневого участка;</w:t>
      </w:r>
    </w:p>
    <w:p w:rsidR="00CB31D1" w:rsidRPr="00CB31D1" w:rsidRDefault="00CB31D1" w:rsidP="00CB31D1">
      <w:p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3.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Разгрузка оползневых склонов (откосов ), террасирование склонов;</w:t>
      </w:r>
    </w:p>
    <w:p w:rsidR="00CB31D1" w:rsidRPr="00CB31D1" w:rsidRDefault="00CB31D1" w:rsidP="00CB31D1">
      <w:p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4.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Посадка древесной и кустарниковой растительности в комплексе с посевом многолетних дернообразующих трав на поверхности оползневых склонов;</w:t>
      </w:r>
    </w:p>
    <w:p w:rsidR="00CB31D1" w:rsidRPr="00CB31D1" w:rsidRDefault="00CB31D1" w:rsidP="00CB31D1">
      <w:p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5.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Спрямление русел рек и периодически действующих водотоков, подмывающих основание оползневых склонов;</w:t>
      </w:r>
    </w:p>
    <w:p w:rsidR="00CB31D1" w:rsidRPr="00CB31D1" w:rsidRDefault="00CB31D1" w:rsidP="00CB31D1">
      <w:p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6.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Берегоукрепление (буны, донные волноломы, струенаправляющие устройства, защитные лесонасаждения и др.) в основании подмываемых оползневых склонов;</w:t>
      </w:r>
    </w:p>
    <w:p w:rsidR="00CB31D1" w:rsidRPr="00CB31D1" w:rsidRDefault="00CB31D1" w:rsidP="00CB31D1">
      <w:p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7.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Отсыпка (намыв) земляных (песчаных, гравийных, каменных) контрбанкетов у основания оползневых склонов. </w:t>
      </w:r>
    </w:p>
    <w:p w:rsidR="00CB31D1" w:rsidRPr="00CB31D1" w:rsidRDefault="00CB31D1" w:rsidP="00CB31D1">
      <w:p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8.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Противооползневые меры механического удержания земляных масс в равновесии включают: перераспределение земляных масс на оползневых склонах (планировку склонов и его террасирование); устройство подпорных стенок: возведение контрбанкетов, контрфорсов, свайных рядов и др.</w:t>
      </w:r>
    </w:p>
    <w:p w:rsidR="00CB31D1" w:rsidRPr="00CB31D1" w:rsidRDefault="00CB31D1" w:rsidP="00CB31D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Подпорные стенки целесообразно устраивать при сравнительно небольших оползнях на склонах при нарушении их устойчивости (подрезки, подмывки, пригрузки и др.). Подпорные стенки, как правило, устанавливаются из сборного железобетона или хорошо обожженного кирпича и камня. Для повышения устойчивости подпорных стенок обычно устраивают застенный дренаж. При расчете подпорных стенок необходимо определить оползневое давление на стенку, а так же временную нагрузку на откос и непосредственно на стенку. </w:t>
      </w:r>
    </w:p>
    <w:p w:rsidR="00CB31D1" w:rsidRPr="00CB31D1" w:rsidRDefault="00CB31D1" w:rsidP="00CB31D1">
      <w:pPr>
        <w:spacing w:line="240" w:lineRule="auto"/>
        <w:jc w:val="both"/>
        <w:rPr>
          <w:rFonts w:eastAsiaTheme="minorEastAsia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ab/>
        <w:t>Контрбанкеты являются довольно эффективно противооползневым мероприятием. Они устраиваются у подошвы действующих или потенциальных оползней и своей массой препятствуют смещению оползневого грунта. Протяженность контрбанкета определяется размерами оползня, ширина и высота – в зависимости от устойчивости оползневой массы. Контрбанкеты, как правило, устраиваются из грунта, а в отдельных случаях – из бутового камня.</w:t>
      </w:r>
    </w:p>
    <w:p w:rsidR="00CB31D1" w:rsidRPr="00CB31D1" w:rsidRDefault="001073C8" w:rsidP="00CB3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  <w:t>РАБОТА 8</w:t>
      </w:r>
      <w:r w:rsidR="00CB31D1" w:rsidRPr="00CB31D1"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  <w:t>. ОЦЕНКА АНТРОПОГЕННОЙ НАГРУЗКИ</w:t>
      </w:r>
    </w:p>
    <w:p w:rsidR="00CB31D1" w:rsidRPr="00CB31D1" w:rsidRDefault="00CB31D1" w:rsidP="00CB31D1">
      <w:pPr>
        <w:autoSpaceDE w:val="0"/>
        <w:autoSpaceDN w:val="0"/>
        <w:adjustRightInd w:val="0"/>
        <w:spacing w:after="48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  <w:t>НА ЗЕМЕЛЬНЫЕ РЕСУРСЫ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mallCaps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Степень антропогенной нагрузки (АН) на земельные ресурсы оценивают с помощью балльной оценки (Кочуров, Иванов, </w:t>
      </w:r>
      <w:r w:rsidRPr="00CB31D1">
        <w:rPr>
          <w:rFonts w:ascii="Times New Roman" w:eastAsia="Times New Roman" w:hAnsi="Times New Roman" w:cs="Times New Roman"/>
          <w:smallCaps/>
          <w:sz w:val="28"/>
          <w:lang w:eastAsia="ru-RU"/>
        </w:rPr>
        <w:t>1987).</w:t>
      </w:r>
    </w:p>
    <w:p w:rsidR="00CB31D1" w:rsidRPr="00CB31D1" w:rsidRDefault="00CB31D1" w:rsidP="00CB31D1">
      <w:pPr>
        <w:autoSpaceDE w:val="0"/>
        <w:autoSpaceDN w:val="0"/>
        <w:adjustRightInd w:val="0"/>
        <w:spacing w:before="240" w:after="0" w:line="240" w:lineRule="auto"/>
        <w:ind w:left="1985" w:hanging="1418"/>
        <w:jc w:val="both"/>
        <w:rPr>
          <w:rFonts w:ascii="Times New Roman" w:eastAsia="Times New Roman" w:hAnsi="Times New Roman" w:cs="Times New Roman"/>
          <w:smallCaps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Таблица 1 </w:t>
      </w:r>
      <w:r w:rsidRPr="00CB31D1">
        <w:rPr>
          <w:rFonts w:ascii="Times New Roman" w:eastAsia="Times New Roman" w:hAnsi="Times New Roman" w:cs="Times New Roman"/>
          <w:smallCaps/>
          <w:sz w:val="28"/>
          <w:lang w:eastAsia="ru-RU"/>
        </w:rPr>
        <w:t>–</w:t>
      </w:r>
      <w:r w:rsidRPr="00CB31D1">
        <w:rPr>
          <w:rFonts w:ascii="Times New Roman" w:eastAsia="Times New Roman" w:hAnsi="Times New Roman" w:cs="Times New Roman"/>
          <w:smallCaps/>
          <w:sz w:val="28"/>
          <w:lang w:eastAsia="ru-RU"/>
        </w:rPr>
        <w:tab/>
        <w:t>К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лассификация земель по степени антропогенной нагрузки</w:t>
      </w:r>
    </w:p>
    <w:tbl>
      <w:tblPr>
        <w:tblW w:w="9093" w:type="dxa"/>
        <w:jc w:val="center"/>
        <w:tblInd w:w="-5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704"/>
        <w:gridCol w:w="1985"/>
        <w:gridCol w:w="4404"/>
      </w:tblGrid>
      <w:tr w:rsidR="00CB31D1" w:rsidRPr="00CB31D1" w:rsidTr="00CB31D1">
        <w:trPr>
          <w:trHeight w:val="601"/>
          <w:jc w:val="center"/>
        </w:trPr>
        <w:tc>
          <w:tcPr>
            <w:tcW w:w="27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Степень АН земель</w:t>
            </w:r>
          </w:p>
        </w:tc>
        <w:tc>
          <w:tcPr>
            <w:tcW w:w="1985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Балл оценки</w:t>
            </w:r>
          </w:p>
        </w:tc>
        <w:tc>
          <w:tcPr>
            <w:tcW w:w="44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Группы земель</w:t>
            </w:r>
          </w:p>
        </w:tc>
      </w:tr>
      <w:tr w:rsidR="00CB31D1" w:rsidRPr="00CB31D1" w:rsidTr="00CB31D1">
        <w:trPr>
          <w:trHeight w:val="569"/>
          <w:jc w:val="center"/>
        </w:trPr>
        <w:tc>
          <w:tcPr>
            <w:tcW w:w="27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Высшая</w:t>
            </w:r>
          </w:p>
        </w:tc>
        <w:tc>
          <w:tcPr>
            <w:tcW w:w="1985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</w:t>
            </w:r>
          </w:p>
        </w:tc>
        <w:tc>
          <w:tcPr>
            <w:tcW w:w="44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Земли промышленности и инфраструктуры</w:t>
            </w:r>
          </w:p>
        </w:tc>
      </w:tr>
      <w:tr w:rsidR="00CB31D1" w:rsidRPr="00CB31D1" w:rsidTr="00CB31D1">
        <w:trPr>
          <w:trHeight w:val="230"/>
          <w:jc w:val="center"/>
        </w:trPr>
        <w:tc>
          <w:tcPr>
            <w:tcW w:w="27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Значительная</w:t>
            </w:r>
          </w:p>
        </w:tc>
        <w:tc>
          <w:tcPr>
            <w:tcW w:w="1985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mallCaps/>
                <w:sz w:val="28"/>
                <w:lang w:eastAsia="ru-RU"/>
              </w:rPr>
              <w:t>4</w:t>
            </w:r>
          </w:p>
        </w:tc>
        <w:tc>
          <w:tcPr>
            <w:tcW w:w="44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Пашня, многолетние насаждения</w:t>
            </w:r>
          </w:p>
        </w:tc>
      </w:tr>
      <w:tr w:rsidR="00CB31D1" w:rsidRPr="00CB31D1" w:rsidTr="00CB31D1">
        <w:trPr>
          <w:trHeight w:val="370"/>
          <w:jc w:val="center"/>
        </w:trPr>
        <w:tc>
          <w:tcPr>
            <w:tcW w:w="27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Средняя</w:t>
            </w:r>
          </w:p>
        </w:tc>
        <w:tc>
          <w:tcPr>
            <w:tcW w:w="1985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Культурные и улучшенные кормовые угодья</w:t>
            </w:r>
          </w:p>
        </w:tc>
      </w:tr>
      <w:tr w:rsidR="00CB31D1" w:rsidRPr="00CB31D1" w:rsidTr="00CB31D1">
        <w:trPr>
          <w:trHeight w:val="248"/>
          <w:jc w:val="center"/>
        </w:trPr>
        <w:tc>
          <w:tcPr>
            <w:tcW w:w="27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Незначительная</w:t>
            </w:r>
          </w:p>
        </w:tc>
        <w:tc>
          <w:tcPr>
            <w:tcW w:w="1985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mallCaps/>
                <w:sz w:val="28"/>
                <w:lang w:eastAsia="ru-RU"/>
              </w:rPr>
              <w:t>2</w:t>
            </w:r>
          </w:p>
        </w:tc>
        <w:tc>
          <w:tcPr>
            <w:tcW w:w="44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Естественные кормовые угодья</w:t>
            </w:r>
          </w:p>
        </w:tc>
      </w:tr>
      <w:tr w:rsidR="00CB31D1" w:rsidRPr="00CB31D1" w:rsidTr="00CB31D1">
        <w:trPr>
          <w:trHeight w:val="241"/>
          <w:jc w:val="center"/>
        </w:trPr>
        <w:tc>
          <w:tcPr>
            <w:tcW w:w="27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Низшая</w:t>
            </w:r>
          </w:p>
        </w:tc>
        <w:tc>
          <w:tcPr>
            <w:tcW w:w="1985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val="en-US" w:eastAsia="ru-RU"/>
              </w:rPr>
              <w:t>1</w:t>
            </w:r>
          </w:p>
        </w:tc>
        <w:tc>
          <w:tcPr>
            <w:tcW w:w="44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Земли естественных урочищ</w:t>
            </w:r>
          </w:p>
        </w:tc>
      </w:tr>
    </w:tbl>
    <w:p w:rsidR="00CB31D1" w:rsidRPr="00CB31D1" w:rsidRDefault="00CB31D1" w:rsidP="00CB31D1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Оценку эколого-хозяйственного состояния </w:t>
      </w:r>
      <w:r w:rsidRPr="00CB31D1">
        <w:rPr>
          <w:rFonts w:ascii="Times New Roman" w:eastAsia="Times New Roman" w:hAnsi="Times New Roman" w:cs="Times New Roman"/>
          <w:smallCaps/>
          <w:sz w:val="28"/>
          <w:lang w:eastAsia="ru-RU"/>
        </w:rPr>
        <w:t xml:space="preserve">(ЭХС) 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земель проводят посредством коэффициента относительной напряженности </w:t>
      </w:r>
      <w:r w:rsidRPr="00CB31D1">
        <w:rPr>
          <w:rFonts w:ascii="Times New Roman" w:eastAsia="Times New Roman" w:hAnsi="Times New Roman" w:cs="Times New Roman"/>
          <w:smallCaps/>
          <w:sz w:val="28"/>
          <w:lang w:eastAsia="ru-RU"/>
        </w:rPr>
        <w:t>ЭХС (</w:t>
      </w:r>
      <w:r w:rsidRPr="00CB31D1">
        <w:rPr>
          <w:rFonts w:ascii="Times New Roman" w:eastAsia="Times New Roman" w:hAnsi="Times New Roman" w:cs="Times New Roman"/>
          <w:smallCaps/>
          <w:sz w:val="28"/>
          <w:lang w:val="en-US" w:eastAsia="ru-RU"/>
        </w:rPr>
        <w:t>K</w:t>
      </w:r>
      <w:r w:rsidRPr="00CB31D1">
        <w:rPr>
          <w:rFonts w:ascii="Times New Roman" w:eastAsia="Times New Roman" w:hAnsi="Times New Roman" w:cs="Times New Roman"/>
          <w:smallCaps/>
          <w:sz w:val="28"/>
          <w:vertAlign w:val="subscript"/>
          <w:lang w:eastAsia="ru-RU"/>
        </w:rPr>
        <w:t>эхс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), который определяется по следующей формуле:</w:t>
      </w:r>
    </w:p>
    <w:p w:rsidR="00CB31D1" w:rsidRPr="00CB31D1" w:rsidRDefault="00AA69BC" w:rsidP="00CB31D1">
      <w:pPr>
        <w:spacing w:after="0" w:line="240" w:lineRule="auto"/>
        <w:ind w:firstLine="720"/>
        <w:jc w:val="center"/>
        <w:rPr>
          <w:oMath/>
          <w:rFonts w:ascii="Cambria Math" w:eastAsiaTheme="minorEastAsia" w:hAnsi="Cambria Math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28"/>
                <w:szCs w:val="28"/>
                <w:lang w:eastAsia="ru-RU"/>
              </w:rPr>
            </m:ctrlPr>
          </m:sSubPr>
          <m:e>
            <m:r>
              <m:rPr>
                <m:nor/>
              </m:rPr>
              <w:rPr>
                <w:rFonts w:ascii="Cambria Math" w:eastAsiaTheme="minorEastAsia" w:hAnsi="Cambria Math"/>
                <w:b/>
                <w:sz w:val="28"/>
                <w:szCs w:val="28"/>
                <w:lang w:eastAsia="ru-RU"/>
              </w:rPr>
              <m:t>К</m:t>
            </m:r>
          </m:e>
          <m:sub>
            <m:r>
              <m:rPr>
                <m:nor/>
              </m:rPr>
              <w:rPr>
                <w:rFonts w:ascii="Cambria Math" w:eastAsiaTheme="minorEastAsia" w:hAnsi="Cambria Math"/>
                <w:b/>
                <w:sz w:val="28"/>
                <w:szCs w:val="28"/>
                <w:lang w:eastAsia="ru-RU"/>
              </w:rPr>
              <m:t>эхс</m:t>
            </m:r>
          </m:sub>
        </m:sSub>
        <m:r>
          <m:rPr>
            <m:nor/>
          </m:rPr>
          <w:rPr>
            <w:rFonts w:ascii="Cambria Math" w:eastAsiaTheme="minorEastAsia" w:hAnsi="Cambria Math"/>
            <w:b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b/>
                    <w:sz w:val="28"/>
                    <w:szCs w:val="28"/>
                    <w:lang w:eastAsia="ru-RU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eastAsiaTheme="minorEastAsia" w:hAnsi="Cambria Math"/>
                    <w:b/>
                    <w:sz w:val="28"/>
                    <w:szCs w:val="28"/>
                    <w:lang w:eastAsia="ru-RU"/>
                  </w:rPr>
                  <m:t>S</m:t>
                </m:r>
              </m:e>
              <m:sub>
                <m:r>
                  <m:rPr>
                    <m:nor/>
                  </m:rPr>
                  <w:rPr>
                    <w:rFonts w:ascii="Cambria Math" w:eastAsiaTheme="minorEastAsia" w:hAnsi="Cambria Math"/>
                    <w:b/>
                    <w:sz w:val="28"/>
                    <w:szCs w:val="28"/>
                    <w:lang w:eastAsia="ru-RU"/>
                  </w:rPr>
                  <m:t>1-2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b/>
                    <w:sz w:val="28"/>
                    <w:szCs w:val="28"/>
                    <w:lang w:eastAsia="ru-RU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eastAsiaTheme="minorEastAsia" w:hAnsi="Cambria Math"/>
                    <w:b/>
                    <w:sz w:val="28"/>
                    <w:szCs w:val="28"/>
                    <w:lang w:eastAsia="ru-RU"/>
                  </w:rPr>
                  <m:t>S</m:t>
                </m:r>
              </m:e>
              <m:sub>
                <m:r>
                  <m:rPr>
                    <m:nor/>
                  </m:rPr>
                  <w:rPr>
                    <w:rFonts w:ascii="Cambria Math" w:eastAsiaTheme="minorEastAsia" w:hAnsi="Cambria Math"/>
                    <w:b/>
                    <w:sz w:val="28"/>
                    <w:szCs w:val="28"/>
                    <w:lang w:eastAsia="ru-RU"/>
                  </w:rPr>
                  <m:t>4-5</m:t>
                </m:r>
              </m:sub>
            </m:sSub>
          </m:den>
        </m:f>
      </m:oMath>
      <w:r w:rsidR="00CB31D1" w:rsidRPr="00CB31D1">
        <w:rPr>
          <w:rFonts w:ascii="Cambria Math" w:eastAsiaTheme="minorEastAsia" w:hAnsi="Cambria Math"/>
          <w:b/>
          <w:sz w:val="28"/>
          <w:szCs w:val="28"/>
          <w:lang w:eastAsia="ru-RU"/>
        </w:rPr>
        <w:t>,</w:t>
      </w:r>
      <w:r w:rsidR="00CB31D1" w:rsidRPr="00CB31D1">
        <w:rPr>
          <w:rFonts w:ascii="Cambria Math" w:eastAsiaTheme="minorEastAsia" w:hAnsi="Cambria Math"/>
          <w:b/>
          <w:sz w:val="28"/>
          <w:szCs w:val="28"/>
          <w:lang w:eastAsia="ru-RU"/>
        </w:rPr>
        <w:tab/>
      </w:r>
      <w:r w:rsidR="00CB31D1" w:rsidRPr="00CB31D1">
        <w:rPr>
          <w:rFonts w:ascii="Cambria Math" w:eastAsiaTheme="minorEastAsia" w:hAnsi="Cambria Math"/>
          <w:b/>
          <w:sz w:val="28"/>
          <w:szCs w:val="28"/>
          <w:lang w:eastAsia="ru-RU"/>
        </w:rPr>
        <w:tab/>
      </w:r>
      <w:r w:rsidR="00CB31D1" w:rsidRPr="00CB31D1">
        <w:rPr>
          <w:rFonts w:ascii="Cambria Math" w:eastAsiaTheme="minorEastAsia" w:hAnsi="Cambria Math"/>
          <w:b/>
          <w:sz w:val="28"/>
          <w:szCs w:val="28"/>
          <w:lang w:eastAsia="ru-RU"/>
        </w:rPr>
        <w:tab/>
        <w:t>(1)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где 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val="en-US" w:eastAsia="ru-RU"/>
        </w:rPr>
        <w:t>S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>1-2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 –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 площади земель с АН в 1</w:t>
      </w:r>
      <w:r w:rsidRPr="00CB31D1">
        <w:rPr>
          <w:rFonts w:ascii="Times New Roman" w:eastAsia="Times New Roman" w:hAnsi="Times New Roman" w:cs="Times New Roman"/>
          <w:smallCaps/>
          <w:sz w:val="28"/>
          <w:lang w:eastAsia="ru-RU"/>
        </w:rPr>
        <w:t xml:space="preserve"> 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и </w:t>
      </w:r>
      <w:r w:rsidRPr="00CB31D1">
        <w:rPr>
          <w:rFonts w:ascii="Times New Roman" w:eastAsia="Times New Roman" w:hAnsi="Times New Roman" w:cs="Times New Roman"/>
          <w:smallCaps/>
          <w:sz w:val="28"/>
          <w:lang w:eastAsia="ru-RU"/>
        </w:rPr>
        <w:t xml:space="preserve">2 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балла; 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val="en-US" w:eastAsia="ru-RU"/>
        </w:rPr>
        <w:t>S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>4-5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 –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 площади земель с АН в 4 и 5 баллов.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Снижение напряженности </w:t>
      </w:r>
      <w:r w:rsidRPr="00CB31D1">
        <w:rPr>
          <w:rFonts w:ascii="Times New Roman" w:eastAsia="Times New Roman" w:hAnsi="Times New Roman" w:cs="Times New Roman"/>
          <w:smallCaps/>
          <w:sz w:val="28"/>
          <w:lang w:eastAsia="ru-RU"/>
        </w:rPr>
        <w:t xml:space="preserve">ЭХС 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землепользования (страны, области, края, района, хозяйства) характеризуется увеличением значения К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>эхс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, а при К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 xml:space="preserve">эхс 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= 1 или близком к 1, ЭХС территории оказывается сбалансированным по степени АН и природной защищенности.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Суммарная площадь земель</w:t>
      </w:r>
      <w:r w:rsidRPr="00CB31D1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экологического фонда (Р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>эф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) с учетом антропогенной нагрузки на отдельные группы земель определяется по следующей формуле: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oMath/>
          <w:rFonts w:ascii="Cambria Math" w:eastAsia="Times New Roman" w:hAnsi="Cambria Math" w:cs="Times New Roman"/>
          <w:sz w:val="28"/>
          <w:lang w:eastAsia="ru-RU"/>
        </w:rPr>
      </w:pPr>
      <m:oMath>
        <m:r>
          <m:rPr>
            <m:nor/>
          </m:rPr>
          <w:rPr>
            <w:rFonts w:ascii="Times New Roman" w:eastAsia="Times New Roman" w:hAnsi="Times New Roman" w:cs="Times New Roman"/>
            <w:b/>
            <w:sz w:val="28"/>
            <w:lang w:eastAsia="ru-RU"/>
          </w:rPr>
          <m:t>Р=0,6А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lang w:eastAsia="ru-RU"/>
              </w:rPr>
            </m:ctrlPr>
          </m:sSubPr>
          <m:e>
            <m:r>
              <m:rPr>
                <m:nor/>
              </m:r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m:t>Н</m:t>
            </m:r>
          </m:e>
          <m:sub>
            <m:r>
              <m:rPr>
                <m:nor/>
              </m:r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m:t>3</m:t>
            </m:r>
          </m:sub>
        </m:sSub>
        <m:r>
          <m:rPr>
            <m:nor/>
          </m:rPr>
          <w:rPr>
            <w:rFonts w:ascii="Times New Roman" w:eastAsia="Times New Roman" w:hAnsi="Times New Roman" w:cs="Times New Roman"/>
            <w:b/>
            <w:sz w:val="28"/>
            <w:lang w:eastAsia="ru-RU"/>
          </w:rPr>
          <m:t>+0,8А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lang w:eastAsia="ru-RU"/>
              </w:rPr>
            </m:ctrlPr>
          </m:sSubPr>
          <m:e>
            <m:r>
              <m:rPr>
                <m:nor/>
              </m:r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m:t>Н</m:t>
            </m:r>
          </m:e>
          <m:sub>
            <m:r>
              <m:rPr>
                <m:nor/>
              </m:r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m:t>2</m:t>
            </m:r>
          </m:sub>
        </m:sSub>
        <m:r>
          <m:rPr>
            <m:nor/>
          </m:rPr>
          <w:rPr>
            <w:rFonts w:ascii="Times New Roman" w:eastAsia="Times New Roman" w:hAnsi="Times New Roman" w:cs="Times New Roman"/>
            <w:b/>
            <w:sz w:val="28"/>
            <w:lang w:eastAsia="ru-RU"/>
          </w:rPr>
          <m:t>+А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lang w:eastAsia="ru-RU"/>
              </w:rPr>
            </m:ctrlPr>
          </m:sSubPr>
          <m:e>
            <m:r>
              <m:rPr>
                <m:nor/>
              </m:r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m:t>Н</m:t>
            </m:r>
          </m:e>
          <m:sub>
            <m:r>
              <m:rPr>
                <m:nor/>
              </m:r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m:t>1</m:t>
            </m:r>
          </m:sub>
        </m:sSub>
      </m:oMath>
      <w:r w:rsidRPr="00CB31D1">
        <w:rPr>
          <w:rFonts w:ascii="Times New Roman" w:eastAsia="Times New Roman" w:hAnsi="Times New Roman" w:cs="Times New Roman"/>
          <w:b/>
          <w:position w:val="-14"/>
          <w:sz w:val="28"/>
          <w:szCs w:val="28"/>
          <w:lang w:eastAsia="ru-RU"/>
        </w:rPr>
        <w:tab/>
      </w:r>
      <w:r w:rsidRPr="00CB31D1">
        <w:rPr>
          <w:rFonts w:ascii="Times New Roman" w:eastAsia="Times New Roman" w:hAnsi="Times New Roman" w:cs="Times New Roman"/>
          <w:b/>
          <w:position w:val="-14"/>
          <w:sz w:val="28"/>
          <w:szCs w:val="28"/>
          <w:lang w:eastAsia="ru-RU"/>
        </w:rPr>
        <w:tab/>
        <w:t>(2)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где АН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>1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 -АН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>3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 –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ab/>
        <w:t>площади земель с различной антропогенной нагрузкой (см. таблицу 1).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lastRenderedPageBreak/>
        <w:t>Коэффициент экологической защищенности территории (К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>эз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) рассчитывается следующим образом:</w:t>
      </w:r>
    </w:p>
    <w:p w:rsidR="00CB31D1" w:rsidRPr="00CB31D1" w:rsidRDefault="00AA69BC" w:rsidP="00CB31D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oMath/>
          <w:rFonts w:ascii="Cambria Math" w:eastAsia="Times New Roman" w:hAnsi="Cambria Math" w:cs="Times New Roman"/>
          <w:sz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lang w:eastAsia="ru-RU"/>
              </w:rPr>
            </m:ctrlPr>
          </m:sSubPr>
          <m:e>
            <m:r>
              <m:rPr>
                <m:nor/>
              </m:r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m:t>К</m:t>
            </m:r>
          </m:e>
          <m:sub>
            <m:r>
              <m:rPr>
                <m:nor/>
              </m:r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m:t>эз</m:t>
            </m:r>
          </m:sub>
        </m:sSub>
        <m:r>
          <m:rPr>
            <m:nor/>
          </m:rPr>
          <w:rPr>
            <w:rFonts w:ascii="Times New Roman" w:eastAsia="Times New Roman" w:hAnsi="Times New Roman" w:cs="Times New Roman"/>
            <w:b/>
            <w:sz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lang w:eastAsia="ru-RU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b/>
                    <w:sz w:val="28"/>
                    <w:lang w:eastAsia="ru-RU"/>
                  </w:rPr>
                  <m:t>Р</m:t>
                </m:r>
              </m:e>
              <m:sub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b/>
                    <w:sz w:val="28"/>
                    <w:lang w:eastAsia="ru-RU"/>
                  </w:rPr>
                  <m:t>эф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lang w:eastAsia="ru-RU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b/>
                    <w:sz w:val="28"/>
                    <w:lang w:eastAsia="ru-RU"/>
                  </w:rPr>
                  <m:t>Р</m:t>
                </m:r>
              </m:e>
              <m:sub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b/>
                    <w:sz w:val="28"/>
                    <w:lang w:eastAsia="ru-RU"/>
                  </w:rPr>
                  <m:t>о</m:t>
                </m:r>
              </m:sub>
            </m:sSub>
          </m:den>
        </m:f>
      </m:oMath>
      <w:r w:rsidR="00CB31D1" w:rsidRPr="00CB31D1">
        <w:rPr>
          <w:rFonts w:ascii="Times New Roman" w:eastAsia="Times New Roman" w:hAnsi="Times New Roman" w:cs="Times New Roman"/>
          <w:b/>
          <w:position w:val="-30"/>
          <w:sz w:val="28"/>
          <w:szCs w:val="28"/>
          <w:lang w:eastAsia="ru-RU"/>
        </w:rPr>
        <w:tab/>
        <w:t xml:space="preserve">                      (3)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где Р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>о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 – общая площадь территории.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По состоянию на 1993 г. территорию Российской Федерации ха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softHyphen/>
        <w:t>рактеризовала следующая экспликация земельного фонда:</w:t>
      </w:r>
    </w:p>
    <w:p w:rsidR="00CB31D1" w:rsidRPr="00CB31D1" w:rsidRDefault="00CB31D1" w:rsidP="00CB31D1">
      <w:pPr>
        <w:autoSpaceDE w:val="0"/>
        <w:autoSpaceDN w:val="0"/>
        <w:adjustRightInd w:val="0"/>
        <w:spacing w:before="120" w:after="0" w:line="240" w:lineRule="auto"/>
        <w:ind w:firstLine="567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Таблица 2 –  Структура земельного фонда Российской Федерации</w:t>
      </w:r>
    </w:p>
    <w:tbl>
      <w:tblPr>
        <w:tblW w:w="9197" w:type="dxa"/>
        <w:jc w:val="center"/>
        <w:tblInd w:w="-16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812"/>
        <w:gridCol w:w="1559"/>
        <w:gridCol w:w="1826"/>
      </w:tblGrid>
      <w:tr w:rsidR="00CB31D1" w:rsidRPr="00CB31D1" w:rsidTr="00CB31D1">
        <w:trPr>
          <w:trHeight w:val="400"/>
          <w:jc w:val="center"/>
        </w:trPr>
        <w:tc>
          <w:tcPr>
            <w:tcW w:w="5812" w:type="dxa"/>
            <w:vMerge w:val="restart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Категории земель</w:t>
            </w:r>
          </w:p>
        </w:tc>
        <w:tc>
          <w:tcPr>
            <w:tcW w:w="3385" w:type="dxa"/>
            <w:gridSpan w:val="2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Площадь</w:t>
            </w:r>
          </w:p>
        </w:tc>
      </w:tr>
      <w:tr w:rsidR="00CB31D1" w:rsidRPr="00CB31D1" w:rsidTr="00CB31D1">
        <w:trPr>
          <w:trHeight w:val="529"/>
          <w:jc w:val="center"/>
        </w:trPr>
        <w:tc>
          <w:tcPr>
            <w:tcW w:w="5812" w:type="dxa"/>
            <w:vMerge/>
            <w:vAlign w:val="center"/>
          </w:tcPr>
          <w:p w:rsidR="00CB31D1" w:rsidRPr="00CB31D1" w:rsidRDefault="00CB31D1" w:rsidP="00CB31D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млн. га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lang w:eastAsia="ru-RU"/>
              </w:rPr>
              <w:t xml:space="preserve">% </w:t>
            </w:r>
            <w:r w:rsidRPr="00CB31D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к общей площади</w:t>
            </w:r>
          </w:p>
        </w:tc>
      </w:tr>
      <w:tr w:rsidR="00CB31D1" w:rsidRPr="00CB31D1" w:rsidTr="00CB31D1">
        <w:trPr>
          <w:trHeight w:val="562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Земли промышленности, транспорта, связи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18,2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41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Пашня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132,0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27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Многолетние насаждения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0,6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30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Сенокосы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26,8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30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Пастбища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62,5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41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Оленьи пастбища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317,8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30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Залежь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lang w:val="en-US"/>
              </w:rPr>
            </w:pPr>
            <w:r w:rsidRPr="00CB31D1">
              <w:rPr>
                <w:rFonts w:ascii="Times New Roman" w:eastAsia="Times New Roman" w:hAnsi="Times New Roman" w:cs="Times New Roman"/>
                <w:iCs/>
                <w:sz w:val="28"/>
                <w:lang w:val="en-US"/>
              </w:rPr>
              <w:t>0,4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20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Болота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109,2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30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Земли лесного фонда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val="en-US"/>
              </w:rPr>
              <w:t>878,3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38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Земли природоохранного назначения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20,7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</w:pP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Порядок выполнения работы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1.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ab/>
        <w:t>По таблице 2 рассчитайте процентное распределение площадей отдельных категорий земель относительно общей площади территории Российской Федерации (1709,6 млн. га).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2.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Объедините категории земель по степени антропогенной нагрузки (по таблице 1). 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3.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ab/>
        <w:t>Рассчитайте суммы площадей земель (в %) с различной степенью антропогенной нагрузки и определите значение коэффициента относительной напряженности ЭХС земель (по формуле 1).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3.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ab/>
        <w:t>Определите площадь земель экологического фонда (по формуле 2) и коэффициент экологической защищенности территории (по формуле 3).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4.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ab/>
        <w:t>Сделайте выводы о степени антропогенной нагрузки на земельные ресурсы Российской Федерации и укажите перспективы достижения сбалансированности по степени АН и природной и ренатурированной защищенности.</w:t>
      </w:r>
    </w:p>
    <w:p w:rsidR="00CB31D1" w:rsidRPr="00CB31D1" w:rsidRDefault="00CB31D1" w:rsidP="00CB31D1">
      <w:pPr>
        <w:spacing w:before="480" w:after="480" w:line="240" w:lineRule="auto"/>
        <w:ind w:left="720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spacing w:before="480" w:after="480" w:line="240" w:lineRule="auto"/>
        <w:ind w:left="720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spacing w:before="480" w:after="480" w:line="240" w:lineRule="auto"/>
        <w:ind w:left="720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spacing w:before="480" w:after="480" w:line="240" w:lineRule="auto"/>
        <w:ind w:left="720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spacing w:before="480" w:after="480" w:line="240" w:lineRule="auto"/>
        <w:ind w:left="720"/>
        <w:contextualSpacing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sectPr w:rsidR="00CB31D1" w:rsidRPr="00CB31D1" w:rsidSect="00CB31D1">
          <w:footerReference w:type="default" r:id="rId12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. </w:t>
      </w:r>
    </w:p>
    <w:p w:rsidR="00CB31D1" w:rsidRPr="00CB31D1" w:rsidRDefault="001073C8" w:rsidP="00CB31D1">
      <w:pPr>
        <w:shd w:val="clear" w:color="auto" w:fill="FFFFFF"/>
        <w:spacing w:after="0" w:line="240" w:lineRule="auto"/>
        <w:ind w:right="5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lastRenderedPageBreak/>
        <w:t>Работа №9</w:t>
      </w:r>
      <w:r w:rsidR="00CB31D1" w:rsidRPr="00CB31D1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. Почвенно-агроэкологическое районирование сельскохозяйственных земель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right="5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CB31D1" w:rsidRPr="00CB31D1" w:rsidRDefault="00CB31D1" w:rsidP="00CB31D1">
      <w:pPr>
        <w:shd w:val="clear" w:color="auto" w:fill="FFFFFF"/>
        <w:spacing w:after="0" w:line="240" w:lineRule="auto"/>
        <w:ind w:right="5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ХАРАКТЕРИСТИКА ПОЧВЕННО-АГРОЭКОЛОГИЧЕСКИХ ПОЯСОВ И ЗОН РФ</w:t>
      </w:r>
    </w:p>
    <w:tbl>
      <w:tblPr>
        <w:tblStyle w:val="13"/>
        <w:tblpPr w:leftFromText="180" w:rightFromText="180" w:vertAnchor="page" w:horzAnchor="margin" w:tblpY="2029"/>
        <w:tblW w:w="15134" w:type="dxa"/>
        <w:tblLayout w:type="fixed"/>
        <w:tblLook w:val="04A0"/>
      </w:tblPr>
      <w:tblGrid>
        <w:gridCol w:w="2376"/>
        <w:gridCol w:w="4253"/>
        <w:gridCol w:w="3118"/>
        <w:gridCol w:w="2268"/>
        <w:gridCol w:w="3119"/>
      </w:tblGrid>
      <w:tr w:rsidR="00CB31D1" w:rsidRPr="00CB31D1" w:rsidTr="00CB31D1">
        <w:tc>
          <w:tcPr>
            <w:tcW w:w="2376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АГРОЭКОЛОГИЧЕСКИЕ ПОЯСА</w:t>
            </w:r>
          </w:p>
        </w:tc>
        <w:tc>
          <w:tcPr>
            <w:tcW w:w="4253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ПОЧВЕННО-АГРОЭКОЛОГИЧЕСКИЕ 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ind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ЗОНЫ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ПОЧВЕННО-АГРОЭКОЛОГИЧЕСКИЕ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ind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ПРОВИНЦИИ</w:t>
            </w:r>
          </w:p>
        </w:tc>
        <w:tc>
          <w:tcPr>
            <w:tcW w:w="226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ПОЧВЕННО-АГРОЭКОЛОГИЧЕСКИЕ КАТЕГОРИИ</w:t>
            </w:r>
          </w:p>
        </w:tc>
        <w:tc>
          <w:tcPr>
            <w:tcW w:w="3119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ПРОЦЕССЫ, ЛИМИТИРУЮЩИЕ ПЛОДОРОДИЕ 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ind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 МЕЛИОРАТИВНЫЕ 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ind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МЕРОПРИЯТИЯ</w:t>
            </w:r>
          </w:p>
        </w:tc>
      </w:tr>
      <w:tr w:rsidR="00CB31D1" w:rsidRPr="00CB31D1" w:rsidTr="00CB31D1">
        <w:tc>
          <w:tcPr>
            <w:tcW w:w="2376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 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ПОЯС 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ПЕРЕУВЛАЖНЕННЫХ И КИСЛЫХ ПОЧВ 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ind w:left="-142" w:right="-108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(ПРЕИМУЩЕСТ</w:t>
            </w:r>
            <w:r w:rsidRPr="00CB31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ВЕННО БОЛОТНЫХ, БОЛОТНО-ПОДЗОЛИСТЫХ И 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ПОДЗО</w:t>
            </w:r>
            <w:r w:rsidRPr="00CB31D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ЛИСТЫХ)</w:t>
            </w:r>
          </w:p>
        </w:tc>
        <w:tc>
          <w:tcPr>
            <w:tcW w:w="4253" w:type="dxa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  <w:lang w:val="en-US"/>
              </w:rPr>
              <w:t>A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  <w:lang w:val="en-US"/>
              </w:rPr>
              <w:t>I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 полярно-тундровая зона с преобладанием 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арктических и тундровых переувлажненных 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почв. 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–––</w:t>
            </w:r>
          </w:p>
        </w:tc>
        <w:tc>
          <w:tcPr>
            <w:tcW w:w="2268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7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Выделены для всех по ведущему деградационному процессу: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8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1 – переувлаж</w:t>
            </w: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нённые;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318"/>
              <w:jc w:val="both"/>
              <w:rPr>
                <w:rFonts w:ascii="Times New Roman" w:hAnsi="Times New Roman" w:cs="Times New Roman"/>
                <w:spacing w:val="-8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2 – кислые не переувлажненные;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284"/>
              <w:jc w:val="both"/>
              <w:rPr>
                <w:rFonts w:ascii="Times New Roman" w:hAnsi="Times New Roman" w:cs="Times New Roman"/>
                <w:spacing w:val="-5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3 – кислые пе</w:t>
            </w: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реувлажненные;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7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4 – эродированные;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3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5 – дефлирова</w:t>
            </w:r>
            <w:r w:rsidRPr="00CB31D1">
              <w:rPr>
                <w:rFonts w:ascii="Times New Roman" w:hAnsi="Times New Roman" w:cs="Times New Roman"/>
                <w:spacing w:val="-3"/>
                <w:sz w:val="23"/>
                <w:szCs w:val="23"/>
              </w:rPr>
              <w:t>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284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3"/>
                <w:sz w:val="23"/>
                <w:szCs w:val="23"/>
              </w:rPr>
              <w:t>6 – сочетание дефлированных и эродирова</w:t>
            </w: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нных;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7 – засоленные;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318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8 – засоленно-солонцовые;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 xml:space="preserve">9 – </w:t>
            </w:r>
            <w:r w:rsidRPr="00CB31D1">
              <w:rPr>
                <w:rFonts w:ascii="Times New Roman" w:hAnsi="Times New Roman" w:cs="Times New Roman"/>
                <w:spacing w:val="-5"/>
                <w:sz w:val="23"/>
                <w:szCs w:val="23"/>
              </w:rPr>
              <w:t>пойменные.</w:t>
            </w:r>
          </w:p>
        </w:tc>
        <w:tc>
          <w:tcPr>
            <w:tcW w:w="3119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Основными свойствами и процес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сами, лимитирующими плодородие почв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, являются переувлажненность в сочетании с кислотностью, в автоморфных условиях локальная эродированность, а на пойменных </w:t>
            </w:r>
            <w:r w:rsidRPr="00CB31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землях паводковое затопление. Все процессы </w:t>
            </w:r>
            <w:r w:rsidRPr="00CB31D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проявляются на фоне низкой теплообеспеченност</w:t>
            </w:r>
            <w:r w:rsidRPr="00CB31D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и, дефицит тепла возрастает в направле</w:t>
            </w:r>
            <w:r w:rsidRPr="00CB31D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нии с запада на восток.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Комплекс мелиоративных 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мероприятий  на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правлен на регулирование теплового и водного режимов почв (снижение увлажнения и повышение 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теплобеспеченности), уменьшение кислотности </w:t>
            </w:r>
            <w:r w:rsidRPr="00CB31D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почв. На эродированных землях необходимо про</w:t>
            </w:r>
            <w:r w:rsidRPr="00CB31D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ведение биомелиораций - восстановление лесов</w:t>
            </w:r>
          </w:p>
        </w:tc>
      </w:tr>
      <w:tr w:rsidR="00CB31D1" w:rsidRPr="00CB31D1" w:rsidTr="00CB31D1">
        <w:trPr>
          <w:trHeight w:val="20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А-П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  северо-таежная зона очагового земле</w:t>
            </w:r>
            <w:r w:rsidRPr="00CB31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делия и животноводства, с господством переув</w:t>
            </w:r>
            <w:r w:rsidRPr="00CB31D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лажненных кислых (глееподзолистых и болот</w:t>
            </w:r>
            <w:r w:rsidRPr="00CB31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ных), длительно промерзающих и мерзлотных </w:t>
            </w:r>
            <w:r w:rsidRPr="00CB31D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почв. 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А-П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vertAlign w:val="subscript"/>
              </w:rPr>
              <w:t>1</w:t>
            </w:r>
            <w:r w:rsidRPr="00CB31D1">
              <w:rPr>
                <w:rFonts w:ascii="Times New Roman" w:hAnsi="Times New Roman" w:cs="Times New Roman"/>
                <w:sz w:val="23"/>
                <w:szCs w:val="23"/>
              </w:rPr>
              <w:t xml:space="preserve">  – Европейская 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А-П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vertAlign w:val="subscript"/>
              </w:rPr>
              <w:t>2</w:t>
            </w:r>
            <w:r w:rsidRPr="00CB31D1">
              <w:rPr>
                <w:rFonts w:ascii="Times New Roman" w:hAnsi="Times New Roman" w:cs="Times New Roman"/>
                <w:sz w:val="23"/>
                <w:szCs w:val="23"/>
              </w:rPr>
              <w:t xml:space="preserve">  – Сибирская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А-П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vertAlign w:val="subscript"/>
              </w:rPr>
              <w:t>3</w:t>
            </w:r>
            <w:r w:rsidRPr="00CB31D1">
              <w:rPr>
                <w:rFonts w:ascii="Times New Roman" w:hAnsi="Times New Roman" w:cs="Times New Roman"/>
                <w:sz w:val="23"/>
                <w:szCs w:val="23"/>
              </w:rPr>
              <w:t xml:space="preserve">  – Северо-Восточная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А-П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vertAlign w:val="subscript"/>
              </w:rPr>
              <w:t>4</w:t>
            </w:r>
            <w:r w:rsidRPr="00CB31D1">
              <w:rPr>
                <w:rFonts w:ascii="Times New Roman" w:hAnsi="Times New Roman" w:cs="Times New Roman"/>
                <w:sz w:val="23"/>
                <w:szCs w:val="23"/>
              </w:rPr>
              <w:t xml:space="preserve">  – Камчатская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А-Ш</w:t>
            </w:r>
            <w:r w:rsidRPr="00CB31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среднетаежная зона мясо-молочного 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животноводства и очагового земледелия, с преоб</w:t>
            </w:r>
            <w:r w:rsidRPr="00CB31D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ладанием переувлажненных и не переувлажнен</w:t>
            </w:r>
            <w:r w:rsidRPr="00CB31D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ных кислых почв (подзолистых и подзолисто-болотных, болотных, мерзлотно-таежных, палевых 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мерзлотных), с локальным проявлением эрозии в </w:t>
            </w:r>
            <w:r w:rsidRPr="00CB31D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автоморфных условиях и засоления - в гидро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морфных.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>А-Ш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vertAlign w:val="subscript"/>
              </w:rPr>
              <w:t xml:space="preserve">1 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>–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vertAlign w:val="subscript"/>
              </w:rPr>
              <w:t xml:space="preserve"> </w:t>
            </w:r>
            <w:r w:rsidRPr="00CB31D1">
              <w:rPr>
                <w:rFonts w:ascii="Times New Roman" w:hAnsi="Times New Roman" w:cs="Times New Roman"/>
                <w:bCs/>
                <w:spacing w:val="-1"/>
                <w:sz w:val="23"/>
                <w:szCs w:val="23"/>
              </w:rPr>
              <w:t>Европейская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Cs/>
                <w:spacing w:val="-1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>А-Ш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vertAlign w:val="subscript"/>
              </w:rPr>
              <w:t xml:space="preserve">2 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>–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vertAlign w:val="subscript"/>
              </w:rPr>
              <w:t xml:space="preserve"> </w:t>
            </w:r>
            <w:r w:rsidRPr="00CB31D1">
              <w:rPr>
                <w:rFonts w:ascii="Times New Roman" w:hAnsi="Times New Roman" w:cs="Times New Roman"/>
                <w:bCs/>
                <w:spacing w:val="-1"/>
                <w:sz w:val="23"/>
                <w:szCs w:val="23"/>
              </w:rPr>
              <w:t>Западно-Сибирская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Cs/>
                <w:spacing w:val="-1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>А-Ш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vertAlign w:val="subscript"/>
              </w:rPr>
              <w:t xml:space="preserve">3 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 xml:space="preserve"> – </w:t>
            </w:r>
            <w:r w:rsidRPr="00CB31D1">
              <w:rPr>
                <w:rFonts w:ascii="Times New Roman" w:hAnsi="Times New Roman" w:cs="Times New Roman"/>
                <w:bCs/>
                <w:spacing w:val="-1"/>
                <w:sz w:val="23"/>
                <w:szCs w:val="23"/>
              </w:rPr>
              <w:t>Среднесибирская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right="-108"/>
              <w:rPr>
                <w:rFonts w:ascii="Times New Roman" w:hAnsi="Times New Roman" w:cs="Times New Roman"/>
                <w:bCs/>
                <w:spacing w:val="-1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>А-Ш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vertAlign w:val="subscript"/>
              </w:rPr>
              <w:t xml:space="preserve">4 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 xml:space="preserve"> – </w:t>
            </w:r>
            <w:r w:rsidRPr="00CB31D1">
              <w:rPr>
                <w:rFonts w:ascii="Times New Roman" w:hAnsi="Times New Roman" w:cs="Times New Roman"/>
                <w:bCs/>
                <w:spacing w:val="-1"/>
                <w:sz w:val="23"/>
                <w:szCs w:val="23"/>
              </w:rPr>
              <w:t>Центрально-Якутская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val="en-US"/>
              </w:rPr>
              <w:t>A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val="en-US"/>
              </w:rPr>
              <w:t>IV</w:t>
            </w:r>
            <w:r w:rsidRPr="00CB31D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южнотаежная зона развитого мясо-мо</w:t>
            </w:r>
            <w:r w:rsidRPr="00CB31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лочного животноводства и земледелия, с преоб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ладанием кислых непереувлажненных и переув</w:t>
            </w:r>
            <w:r w:rsidRPr="00CB31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лажненных почв (дерново-подзолистых, таеж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ных, палевых, глееватых, подзолисто-болотных и болотных), с локальным проявлением эрозии*, засоления, солонцеватости.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742" w:hanging="742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A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IV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 xml:space="preserve">1 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>– Прибалтийская (восточная)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A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IV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>2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 xml:space="preserve"> – Среднерусская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A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IV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>3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 xml:space="preserve"> – Западно-Сибирская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A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IV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 xml:space="preserve">4 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>– Среднесибирская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742" w:hanging="742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A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IV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 xml:space="preserve">5 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>– Дальневосточно-Сахалинская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742" w:hanging="742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A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IV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>6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 xml:space="preserve"> – Дальневосточно-Амуро-Уссурийская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419"/>
        </w:trPr>
        <w:tc>
          <w:tcPr>
            <w:tcW w:w="2376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Б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ПОЯС </w:t>
            </w:r>
            <w:r w:rsidRPr="00CB31D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ВЫСОКОГУМУСНЫХ ПОЧВ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ДОСТА</w:t>
            </w:r>
            <w:r w:rsidRPr="00CB31D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softHyphen/>
              <w:t xml:space="preserve">ТОЧНОГО ИЛИ НЕДОСТАТОЧНОГО УВЛАЖНЕНИЯ, СРЕДНЕ </w:t>
            </w:r>
            <w:r w:rsidRPr="00CB31D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ОБЕСПЕЧЕННЫХ ТЕПЛОМ,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СЛАБОКИСЛЫХ И НЕЙТРАЛЬ</w:t>
            </w:r>
            <w:r w:rsidRPr="00CB31D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softHyphen/>
            </w:r>
            <w:r w:rsidRPr="00CB31D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НЫХ, С ГОСПОДСТВОМ СЕРЫХ ЛЕСНЫХ И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ЧЕРНОЗЕМНЫХ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ЭРОДИРОВАННЫХ И ДЕФЛИРОВАННЫХ ПОЧВ,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С ПРОЯВ</w:t>
            </w:r>
            <w:r w:rsidRPr="00CB31D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softHyphen/>
            </w:r>
            <w:r w:rsidRPr="00CB31D1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ЛЕНИЕМ В ГИДРОМОРФНЫХ И ПОЛУГИДРОМОРФНЫХ УС</w:t>
            </w:r>
            <w:r w:rsidRPr="00CB31D1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softHyphen/>
              <w:t xml:space="preserve">ЛОВИЯХ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ЗАСОЛЕНИЯ</w:t>
            </w:r>
            <w:r w:rsidRPr="00CB31D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И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СОЛОНЦЕВАТОСТИ</w:t>
            </w:r>
          </w:p>
        </w:tc>
        <w:tc>
          <w:tcPr>
            <w:tcW w:w="4253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  <w:lang w:val="en-US"/>
              </w:rPr>
              <w:t>V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лесостепная, интенсивного земледе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CB31D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лия и мясо-молочного животноводства, с господст</w:t>
            </w:r>
            <w:r w:rsidRPr="00CB31D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softHyphen/>
            </w:r>
            <w:r w:rsidRPr="00CB31D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вом высокогумусных и с повышенным содержани</w:t>
            </w:r>
            <w:r w:rsidRPr="00CB31D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softHyphen/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ем гумуса почв (черноземы оподзоленные, выще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CB31D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лоченные, типичные, лугово-черноземные, серые, 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бурые лесные), слабокислых и нейтральных, пре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  <w:t>имущественно эродированных, реже дефлирован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CB31D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ных, с проявлением слитогенеза; в гидроморфных 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условиях - засоленных, солонцеватых почв</w:t>
            </w:r>
            <w:r w:rsidRPr="00CB31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. 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lang w:val="en-US"/>
              </w:rPr>
              <w:t>V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vertAlign w:val="subscript"/>
              </w:rPr>
              <w:t>1</w:t>
            </w:r>
            <w:r w:rsidRPr="00CB31D1">
              <w:rPr>
                <w:rFonts w:ascii="Times New Roman" w:hAnsi="Times New Roman" w:cs="Times New Roman"/>
                <w:spacing w:val="-5"/>
                <w:sz w:val="23"/>
                <w:szCs w:val="23"/>
                <w:vertAlign w:val="subscript"/>
              </w:rPr>
              <w:t xml:space="preserve"> </w:t>
            </w:r>
            <w:r w:rsidRPr="00CB31D1">
              <w:rPr>
                <w:rFonts w:ascii="Times New Roman" w:hAnsi="Times New Roman" w:cs="Times New Roman"/>
                <w:spacing w:val="-5"/>
                <w:sz w:val="23"/>
                <w:szCs w:val="23"/>
              </w:rPr>
              <w:t xml:space="preserve"> – Среднерусская</w:t>
            </w:r>
          </w:p>
        </w:tc>
        <w:tc>
          <w:tcPr>
            <w:tcW w:w="2268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7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Выделены для всех по ведущему деградационному процессу: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7"/>
                <w:sz w:val="23"/>
                <w:szCs w:val="23"/>
              </w:rPr>
            </w:pP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8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1 – переувлаж</w:t>
            </w: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нённые;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318"/>
              <w:jc w:val="both"/>
              <w:rPr>
                <w:rFonts w:ascii="Times New Roman" w:hAnsi="Times New Roman" w:cs="Times New Roman"/>
                <w:spacing w:val="-8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2 – кислые не переувлажненные;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284"/>
              <w:jc w:val="both"/>
              <w:rPr>
                <w:rFonts w:ascii="Times New Roman" w:hAnsi="Times New Roman" w:cs="Times New Roman"/>
                <w:spacing w:val="-5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3 – кислые пе</w:t>
            </w: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реувлажненные;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7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4 – эродированные;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3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5 – дефлирова</w:t>
            </w:r>
            <w:r w:rsidRPr="00CB31D1">
              <w:rPr>
                <w:rFonts w:ascii="Times New Roman" w:hAnsi="Times New Roman" w:cs="Times New Roman"/>
                <w:spacing w:val="-3"/>
                <w:sz w:val="23"/>
                <w:szCs w:val="23"/>
              </w:rPr>
              <w:t>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284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3"/>
                <w:sz w:val="23"/>
                <w:szCs w:val="23"/>
              </w:rPr>
              <w:t>6 – сочетание дефлированных и эродирова</w:t>
            </w: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нных;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7 – засоленные;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318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8 – засоленно-солонцовые;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 xml:space="preserve">9 – </w:t>
            </w:r>
            <w:r w:rsidRPr="00CB31D1">
              <w:rPr>
                <w:rFonts w:ascii="Times New Roman" w:hAnsi="Times New Roman" w:cs="Times New Roman"/>
                <w:spacing w:val="-5"/>
                <w:sz w:val="23"/>
                <w:szCs w:val="23"/>
              </w:rPr>
              <w:t>пойменные.</w:t>
            </w:r>
          </w:p>
        </w:tc>
        <w:tc>
          <w:tcPr>
            <w:tcW w:w="3119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14" w:right="19"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Основными процессами, лимитирующими плодородие почв, являются эрозия и дефляция в автоморфных условиях и за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softHyphen/>
              <w:t>соление и солонцеватость - в полугидроморфных и гидроморфных, а также периодический дефи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softHyphen/>
              <w:t>цит влаги.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6" w:firstLine="1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Против эрозии и дефляции основным является комплекс биоме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softHyphen/>
              <w:t>лиоративных мероприятий. На территориях, подверженных процессам засоления и солонцеватости используют био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softHyphen/>
              <w:t>мелиорацию (посев соле- и солонцеустойчивых культур), при экономической целесообразности проводят агротехнические и гидротехнические мероприятия</w:t>
            </w:r>
          </w:p>
        </w:tc>
      </w:tr>
      <w:tr w:rsidR="00CB31D1" w:rsidRPr="00CB31D1" w:rsidTr="00CB31D1">
        <w:trPr>
          <w:trHeight w:val="709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lang w:val="en-US"/>
              </w:rPr>
              <w:t>V</w:t>
            </w:r>
            <w:r w:rsidRPr="00CB31D1">
              <w:rPr>
                <w:rFonts w:ascii="Times New Roman" w:hAnsi="Times New Roman" w:cs="Times New Roman"/>
                <w:b/>
                <w:spacing w:val="-5"/>
                <w:sz w:val="23"/>
                <w:szCs w:val="23"/>
                <w:vertAlign w:val="subscript"/>
              </w:rPr>
              <w:t>2</w:t>
            </w:r>
            <w:r w:rsidRPr="00CB31D1">
              <w:rPr>
                <w:rFonts w:ascii="Times New Roman" w:hAnsi="Times New Roman" w:cs="Times New Roman"/>
                <w:spacing w:val="-5"/>
                <w:sz w:val="23"/>
                <w:szCs w:val="23"/>
              </w:rPr>
              <w:t xml:space="preserve"> – Предуральская</w:t>
            </w:r>
          </w:p>
        </w:tc>
        <w:tc>
          <w:tcPr>
            <w:tcW w:w="2268" w:type="dxa"/>
            <w:vMerge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6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689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lang w:val="en-US"/>
              </w:rPr>
              <w:t>V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vertAlign w:val="subscript"/>
              </w:rPr>
              <w:t>3</w:t>
            </w:r>
            <w:r w:rsidRPr="00CB31D1">
              <w:rPr>
                <w:rFonts w:ascii="Times New Roman" w:hAnsi="Times New Roman" w:cs="Times New Roman"/>
                <w:spacing w:val="-5"/>
                <w:sz w:val="23"/>
                <w:szCs w:val="23"/>
              </w:rPr>
              <w:t xml:space="preserve">  – Западно-Сибирская</w:t>
            </w:r>
          </w:p>
        </w:tc>
        <w:tc>
          <w:tcPr>
            <w:tcW w:w="2268" w:type="dxa"/>
            <w:vMerge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6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699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742" w:right="-108" w:hanging="742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lang w:val="en-US"/>
              </w:rPr>
              <w:t>V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vertAlign w:val="subscript"/>
              </w:rPr>
              <w:t>4</w:t>
            </w:r>
            <w:r w:rsidRPr="00CB31D1">
              <w:rPr>
                <w:rFonts w:ascii="Times New Roman" w:hAnsi="Times New Roman" w:cs="Times New Roman"/>
                <w:spacing w:val="-5"/>
                <w:sz w:val="23"/>
                <w:szCs w:val="23"/>
              </w:rPr>
              <w:t xml:space="preserve"> – Сибирско-Предалтайская</w:t>
            </w:r>
          </w:p>
        </w:tc>
        <w:tc>
          <w:tcPr>
            <w:tcW w:w="2268" w:type="dxa"/>
            <w:vMerge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6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696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lang w:val="en-US"/>
              </w:rPr>
              <w:t>V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vertAlign w:val="subscript"/>
              </w:rPr>
              <w:t>5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</w:rPr>
              <w:t xml:space="preserve"> – </w:t>
            </w:r>
            <w:r w:rsidRPr="00CB31D1">
              <w:rPr>
                <w:rFonts w:ascii="Times New Roman" w:hAnsi="Times New Roman" w:cs="Times New Roman"/>
                <w:bCs/>
                <w:spacing w:val="-5"/>
                <w:sz w:val="23"/>
                <w:szCs w:val="23"/>
              </w:rPr>
              <w:t>Среднесибирская</w:t>
            </w:r>
          </w:p>
        </w:tc>
        <w:tc>
          <w:tcPr>
            <w:tcW w:w="2268" w:type="dxa"/>
            <w:vMerge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rPr>
          <w:trHeight w:val="277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  степная, интенсивного зернового 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земледелия и мясо-молочного живoт-нoвoдства с </w:t>
            </w:r>
            <w:r w:rsidRPr="00CB31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господством высокогумусных почв, недостаточ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ной влагообеспеченности (черноземы </w:t>
            </w:r>
            <w:r w:rsidRPr="00CB3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быкно</w:t>
            </w:r>
            <w:r w:rsidRPr="00CB31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венные, южные, лугово-черно-земные), эродированных</w:t>
            </w:r>
            <w:r w:rsidRPr="00CB31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и дефлированных, с распространением 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гидроморфных и полугидроморфных условно </w:t>
            </w:r>
            <w:r w:rsidRPr="00CB31D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засоленных и засоленных солонцовых (содовых, нейтральных) почв и комплексов с солонцами.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742" w:hanging="742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VI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 xml:space="preserve">1 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>– Прибалтийская (восточная)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332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VI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>2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 xml:space="preserve"> – Среднерусская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477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VI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>3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 xml:space="preserve"> – Западно-Сибирская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513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VI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 xml:space="preserve">4 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>– Среднесибирская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563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742" w:hanging="742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VI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 xml:space="preserve">5 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>– Дальневосточно-Сахалинская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685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742" w:hanging="742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VI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>6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 xml:space="preserve"> – Дальневосточно-Амуро-Уссурийская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857"/>
        </w:trPr>
        <w:tc>
          <w:tcPr>
            <w:tcW w:w="2376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7" w:hanging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7" w:hanging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7" w:hanging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z w:val="20"/>
                <w:szCs w:val="20"/>
              </w:rPr>
              <w:t>ПОЯС  ЗАСОЛЕННЫХ И ЗАСОЛЕННО-СОЛОНЦОВЫХ ПОЧВ (НЕЙТРАЛЬНЫХ) НИЗКОЙ ВЛАГООБЕСПЕЧЕННОСТИ, С ПРОЯВЛЕНИЕМ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7" w:hanging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0"/>
                <w:szCs w:val="20"/>
              </w:rPr>
              <w:t xml:space="preserve"> ДЕ</w:t>
            </w:r>
            <w:r w:rsidRPr="00CB31D1">
              <w:rPr>
                <w:rFonts w:ascii="Times New Roman" w:hAnsi="Times New Roman" w:cs="Times New Roman"/>
                <w:sz w:val="20"/>
                <w:szCs w:val="20"/>
              </w:rPr>
              <w:softHyphen/>
              <w:t>ФЛЯЦИИ</w:t>
            </w:r>
          </w:p>
        </w:tc>
        <w:tc>
          <w:tcPr>
            <w:tcW w:w="4253" w:type="dxa"/>
            <w:vMerge w:val="restart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2"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 - сухостепная зона богарного и орошае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softHyphen/>
              <w:t>мого земледелия, интенсивного животноводства, с широким распространением незасоленных и по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softHyphen/>
              <w:t>тенциально засоленных (темно-каштановых и ка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softHyphen/>
              <w:t>штановых), а также засоленно-солонцовых почв (преимущественно нейтрально-засоленных) и их комплексов с солонцами.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884" w:hanging="884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VII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vertAlign w:val="subscript"/>
              </w:rPr>
              <w:t xml:space="preserve">1 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– </w:t>
            </w:r>
            <w:r w:rsidRPr="00CB31D1">
              <w:rPr>
                <w:rFonts w:ascii="Times New Roman" w:hAnsi="Times New Roman" w:cs="Times New Roman"/>
                <w:bCs/>
                <w:sz w:val="23"/>
                <w:szCs w:val="23"/>
              </w:rPr>
              <w:t>Манычско-Донская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4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4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Пояс В характеризуется резким дефицитом влаги и широким </w:t>
            </w:r>
            <w:r w:rsidRPr="00CB31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развитием двух процессов, лимитирующих плодо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родие почв: засолением и солонцеватостью. Кроме того, широко развит и процесс дефляции.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2" w:firstLine="3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улучшения 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свойств почв в пределах пояса В и повышения их плодородия может ре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CB31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шаться за счет подбора засухоустойчивых, соле- и 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солонцеустойчивых культур, а также проведения комплекса агротехнических и гидротехнических мелиорации.</w:t>
            </w:r>
          </w:p>
        </w:tc>
      </w:tr>
      <w:tr w:rsidR="00CB31D1" w:rsidRPr="00CB31D1" w:rsidTr="00CB31D1">
        <w:trPr>
          <w:trHeight w:val="809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VII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vertAlign w:val="subscript"/>
              </w:rPr>
              <w:t xml:space="preserve">2 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– </w:t>
            </w:r>
            <w:r w:rsidRPr="00CB31D1">
              <w:rPr>
                <w:rFonts w:ascii="Times New Roman" w:hAnsi="Times New Roman" w:cs="Times New Roman"/>
                <w:bCs/>
                <w:sz w:val="23"/>
                <w:szCs w:val="23"/>
              </w:rPr>
              <w:t>Заволжская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2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VII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vertAlign w:val="subscript"/>
              </w:rPr>
              <w:t xml:space="preserve">3 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– </w:t>
            </w:r>
            <w:r w:rsidRPr="00CB31D1">
              <w:rPr>
                <w:rFonts w:ascii="Times New Roman" w:hAnsi="Times New Roman" w:cs="Times New Roman"/>
                <w:bCs/>
                <w:sz w:val="23"/>
                <w:szCs w:val="23"/>
              </w:rPr>
              <w:t>Казахстанская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2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7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7" w:hanging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7" w:hanging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z w:val="20"/>
                <w:szCs w:val="20"/>
              </w:rPr>
              <w:t xml:space="preserve">ПОЯС  ЗАСОЛЕННЫХ И ЗАСОЛЕННО-СОЛОНЦОВЫХ ПОЧВ (НЕЙТРАЛЬНЫХ) НИЗКОЙ ВЛАГООБЕСПЕЧЕННОСТИ, С ПРОЯВЛЕНИЕМ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7" w:hanging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z w:val="20"/>
                <w:szCs w:val="20"/>
              </w:rPr>
              <w:t>ДЕФЛЯЦИИ</w:t>
            </w:r>
          </w:p>
        </w:tc>
        <w:tc>
          <w:tcPr>
            <w:tcW w:w="4253" w:type="dxa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6" w:right="11"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en-US"/>
              </w:rPr>
              <w:t>VIII</w:t>
            </w:r>
            <w:r w:rsidRPr="00CB31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 полупустынная, интенсивного жи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вотноводства и выборочного земледелия, преимущественно орошаемого, с широким распространением засоленных и засоленно-солонцовых почв </w:t>
            </w:r>
            <w:r w:rsidRPr="00CB31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(светло-каштановых и бурых полупустынных) и их 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комплексов с солонцами, солончаками, значительным распространением дефляции. В пределах зоны выделена одна провинция. </w:t>
            </w:r>
          </w:p>
        </w:tc>
        <w:tc>
          <w:tcPr>
            <w:tcW w:w="3118" w:type="dxa"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0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en-US"/>
              </w:rPr>
              <w:t>VIII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CB31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 полупустынная, интенсивного жи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вотноводства и выборочного орошаемого земледелия, с широким распространением засоленных и засоленно-солонцовых почв </w:t>
            </w:r>
            <w:r w:rsidRPr="00CB31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(светло-каштановых и бурых полупустынных) и их 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комплексов с солонцами, солончаками, значительным распространением дефляции.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lang w:val="en-US"/>
              </w:rPr>
              <w:t>VIII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vertAlign w:val="subscript"/>
              </w:rPr>
              <w:t>1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 xml:space="preserve"> – </w:t>
            </w:r>
            <w:r w:rsidRPr="00CB31D1">
              <w:rPr>
                <w:rFonts w:ascii="Times New Roman" w:hAnsi="Times New Roman" w:cs="Times New Roman"/>
                <w:bCs/>
                <w:spacing w:val="-1"/>
                <w:sz w:val="23"/>
                <w:szCs w:val="23"/>
              </w:rPr>
              <w:t>Прикаспийская</w:t>
            </w:r>
          </w:p>
        </w:tc>
        <w:tc>
          <w:tcPr>
            <w:tcW w:w="2268" w:type="dxa"/>
            <w:vMerge w:val="restart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7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Выделены по ведущему деградационному процессу: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8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1 – переувлаж</w:t>
            </w: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нённые;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318"/>
              <w:jc w:val="both"/>
              <w:rPr>
                <w:rFonts w:ascii="Times New Roman" w:hAnsi="Times New Roman" w:cs="Times New Roman"/>
                <w:spacing w:val="-8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2 – кислые не переувлажненные;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284"/>
              <w:jc w:val="both"/>
              <w:rPr>
                <w:rFonts w:ascii="Times New Roman" w:hAnsi="Times New Roman" w:cs="Times New Roman"/>
                <w:spacing w:val="-5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3 – кислые пе</w:t>
            </w: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реувлажненные;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7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4 – эродированные;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3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5 – дефлирова</w:t>
            </w:r>
            <w:r w:rsidRPr="00CB31D1">
              <w:rPr>
                <w:rFonts w:ascii="Times New Roman" w:hAnsi="Times New Roman" w:cs="Times New Roman"/>
                <w:spacing w:val="-3"/>
                <w:sz w:val="23"/>
                <w:szCs w:val="23"/>
              </w:rPr>
              <w:t>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318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3"/>
                <w:sz w:val="23"/>
                <w:szCs w:val="23"/>
              </w:rPr>
              <w:t>6 – сочетание дефлированных и эродирова</w:t>
            </w: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нных;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7 – засоленные;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318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8 – засоленно-солонцовые;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 xml:space="preserve">9 – </w:t>
            </w:r>
            <w:r w:rsidRPr="00CB31D1">
              <w:rPr>
                <w:rFonts w:ascii="Times New Roman" w:hAnsi="Times New Roman" w:cs="Times New Roman"/>
                <w:spacing w:val="-5"/>
                <w:sz w:val="23"/>
                <w:szCs w:val="23"/>
              </w:rPr>
              <w:t>пойменные.</w:t>
            </w: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IX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 - пустынная, интенсивного животноводства и орошаемого земледелия, с распространением засоленных и дефлированных почв (бурых полупустынных, солончаков, солончаковых солонцов, песков). Характерна дефляция; влагообеспеченность почв крайне низкая.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IX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vertAlign w:val="subscript"/>
              </w:rPr>
              <w:t>1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– </w:t>
            </w:r>
            <w:r w:rsidRPr="00CB31D1">
              <w:rPr>
                <w:rFonts w:ascii="Times New Roman" w:hAnsi="Times New Roman" w:cs="Times New Roman"/>
                <w:bCs/>
                <w:sz w:val="23"/>
                <w:szCs w:val="23"/>
              </w:rPr>
              <w:t>Арало-Каспийская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z w:val="20"/>
                <w:szCs w:val="20"/>
              </w:rPr>
              <w:t>ГОРНЫЕ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z w:val="20"/>
                <w:szCs w:val="20"/>
              </w:rPr>
              <w:t>ТЕРРИТОРИИ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0"/>
                <w:szCs w:val="20"/>
              </w:rPr>
              <w:t>ПОЯС ОЧАГОВОГО ЗЕМЛЕДЕЛИЯ</w:t>
            </w:r>
          </w:p>
        </w:tc>
        <w:tc>
          <w:tcPr>
            <w:tcW w:w="4253" w:type="dxa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Климат, почвенный покров и факторы, лимитирующие плодородие горных почв, на карте М 1 : 4000000 не дифференцированы из-за малых площадей сельскохозяйственных угодий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–––</w:t>
            </w:r>
          </w:p>
        </w:tc>
        <w:tc>
          <w:tcPr>
            <w:tcW w:w="226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–––</w:t>
            </w:r>
          </w:p>
        </w:tc>
        <w:tc>
          <w:tcPr>
            <w:tcW w:w="3119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–––</w:t>
            </w:r>
          </w:p>
        </w:tc>
      </w:tr>
    </w:tbl>
    <w:p w:rsidR="00CB31D1" w:rsidRPr="00CB31D1" w:rsidRDefault="00CB31D1" w:rsidP="00CB31D1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CB31D1" w:rsidRPr="00CB31D1" w:rsidRDefault="00CB31D1" w:rsidP="00CB31D1">
      <w:pPr>
        <w:shd w:val="clear" w:color="auto" w:fill="FFFFFF"/>
        <w:spacing w:after="0" w:line="360" w:lineRule="auto"/>
        <w:ind w:right="5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sectPr w:rsidR="00CB31D1" w:rsidRPr="00CB31D1" w:rsidSect="00CB31D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B31D1" w:rsidRPr="00CB31D1" w:rsidRDefault="00CB31D1" w:rsidP="00CB31D1">
      <w:pPr>
        <w:shd w:val="clear" w:color="auto" w:fill="FFFFFF"/>
        <w:spacing w:after="0"/>
        <w:ind w:right="31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Карта почвенно-агроэкологического районирования – это основа для разработки комплексных мероприятий по рациональному использованию и улучшению сельскохозяйственных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земель. Анализ материалов, приведенных на карте, позволяет констатировать, что:</w:t>
      </w:r>
    </w:p>
    <w:p w:rsidR="00CB31D1" w:rsidRPr="00CB31D1" w:rsidRDefault="00CB31D1" w:rsidP="00CB31D1">
      <w:pPr>
        <w:shd w:val="clear" w:color="auto" w:fill="FFFFFF"/>
        <w:spacing w:after="0"/>
        <w:ind w:left="709" w:right="2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категории кислых (не переувлажненных и переувлажненных) почв достигают 100 млн. га; </w:t>
      </w:r>
    </w:p>
    <w:p w:rsidR="00CB31D1" w:rsidRPr="00CB31D1" w:rsidRDefault="00CB31D1" w:rsidP="00CB31D1">
      <w:pPr>
        <w:shd w:val="clear" w:color="auto" w:fill="FFFFFF"/>
        <w:spacing w:after="0"/>
        <w:ind w:left="709" w:right="2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категории переувлажненных почв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(кислых, нейтральных, без учета пойменных) составляет 19,1 млн. га, или 8,6 % от плошади с.-х. земель; </w:t>
      </w:r>
    </w:p>
    <w:p w:rsidR="00CB31D1" w:rsidRPr="00CB31D1" w:rsidRDefault="00CB31D1" w:rsidP="00CB31D1">
      <w:pPr>
        <w:shd w:val="clear" w:color="auto" w:fill="FFFFFF"/>
        <w:spacing w:after="0"/>
        <w:ind w:left="709" w:right="2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категория эродированных и дефлированных почв по материалам составителей Почвенно-эрозионной карты (1990), базирующихся на данных Росземпроекта, составляет 63 млн. га (28,7 % с.-х. угодий). Сильная пораженность сельскохозяйственных земель эрози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ей и дефляцией отмечается на Северном Кавказе (более 50 %), в Поволжье (37,5%), на Урале (29 %);</w:t>
      </w:r>
    </w:p>
    <w:p w:rsidR="00CB31D1" w:rsidRPr="00CB31D1" w:rsidRDefault="00CB31D1" w:rsidP="00CB31D1">
      <w:pPr>
        <w:shd w:val="clear" w:color="auto" w:fill="FFFFFF"/>
        <w:spacing w:after="0"/>
        <w:ind w:left="709" w:right="2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категории засоленных и засоленно-солонцовых почв занимают 39,2 млн. га (18 % с.-х. угодий), при этом собственно засо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ленные почвы составляют 7 %, а засоленно-солонцовые – 11 %; </w:t>
      </w:r>
    </w:p>
    <w:p w:rsidR="00CB31D1" w:rsidRPr="00CB31D1" w:rsidRDefault="00CB31D1" w:rsidP="00CB31D1">
      <w:pPr>
        <w:shd w:val="clear" w:color="auto" w:fill="FFFFFF"/>
        <w:spacing w:after="0"/>
        <w:ind w:left="709" w:right="2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категория пойменных почв составляет 6,6 млн. га (3% с.-х. угодий).</w:t>
      </w:r>
    </w:p>
    <w:p w:rsidR="00CB31D1" w:rsidRPr="00CB31D1" w:rsidRDefault="00CB31D1" w:rsidP="00CB31D1">
      <w:pPr>
        <w:shd w:val="clear" w:color="auto" w:fill="FFFFFF"/>
        <w:spacing w:after="0"/>
        <w:ind w:left="17" w:right="72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Карта почвенно-агроэкологического районирования позволяет обосновать стратегию комплексных мероприятий по рациональному использованию и улучшению сельскохозяйственных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земель, направленных на замедление, ликвидацию деградационных процессов. Она позволяет выявить районы, для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 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которых основным мелиоративным мероприятием может стать комплекс биомелиораций. Это, прежде всего, территории, подверженные эрозии и дефляции, а также территории, в пределах которых отмечается слабое проявление засоления, солонцеватости, переувлажнения. Районы, где свойства и процессы, лимитирующие плодородие почв, проявляются в сильной степени, нуждаются, как правило, в дорогостоящих комплексных мелиоративных мероприятиях. Затраты на освоение и мелиорацию этих земель требуют предварительного агроэкологического обоснования.</w:t>
      </w:r>
    </w:p>
    <w:p w:rsidR="00CB31D1" w:rsidRPr="00CB31D1" w:rsidRDefault="00CB31D1" w:rsidP="00CB31D1">
      <w:pPr>
        <w:shd w:val="clear" w:color="auto" w:fill="FFFFFF"/>
        <w:spacing w:after="0"/>
        <w:ind w:left="17" w:right="72" w:hanging="1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Задание для самостоятельной работы № 8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</w:p>
    <w:p w:rsidR="00CB31D1" w:rsidRPr="00CB31D1" w:rsidRDefault="00CB31D1" w:rsidP="00CB31D1">
      <w:pPr>
        <w:shd w:val="clear" w:color="auto" w:fill="FFFFFF"/>
        <w:spacing w:after="0"/>
        <w:ind w:left="17" w:right="72" w:hanging="1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на предлагаемой схеме почвенно-агроэкологического районирования РФ с помощью цветового обозначения выделить  почвенно-агроэкологические пояса. </w:t>
      </w:r>
    </w:p>
    <w:p w:rsidR="00CB31D1" w:rsidRDefault="00CB31D1" w:rsidP="00CB31D1">
      <w:pPr>
        <w:shd w:val="clear" w:color="auto" w:fill="FFFFFF"/>
        <w:spacing w:after="0"/>
        <w:ind w:left="17" w:right="72" w:hanging="1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2.Провести анализ схемы агроэкологического районирования России с указанием основных направлений почве</w:t>
      </w:r>
      <w:r w:rsidR="005457CE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нно - мелиоративных мероприятий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457CE" w:rsidRDefault="005457CE" w:rsidP="00CB31D1">
      <w:pPr>
        <w:shd w:val="clear" w:color="auto" w:fill="FFFFFF"/>
        <w:spacing w:after="0"/>
        <w:ind w:left="17" w:right="72" w:hanging="1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457CE" w:rsidRPr="00CB31D1" w:rsidRDefault="005457CE" w:rsidP="00CB31D1">
      <w:pPr>
        <w:shd w:val="clear" w:color="auto" w:fill="FFFFFF"/>
        <w:spacing w:after="0"/>
        <w:ind w:left="17" w:right="72" w:hanging="1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-2268"/>
        </w:tabs>
        <w:spacing w:after="0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eastAsiaTheme="minorEastAs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3590" cy="8054340"/>
            <wp:effectExtent l="19050" t="0" r="381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D1" w:rsidRPr="00CB31D1" w:rsidRDefault="00CB31D1" w:rsidP="00CB31D1">
      <w:pPr>
        <w:shd w:val="clear" w:color="auto" w:fill="FFFFFF"/>
        <w:spacing w:after="0"/>
        <w:ind w:left="2"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  <w:t>Схема почвенно-агроэкологического районирования сельскохозяйственных земель России.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CB31D1" w:rsidRPr="00CB31D1" w:rsidRDefault="00CB31D1" w:rsidP="00CB31D1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CB31D1" w:rsidRPr="00CB31D1" w:rsidRDefault="00CB31D1" w:rsidP="00CB31D1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3"/>
          <w:sz w:val="28"/>
          <w:szCs w:val="28"/>
          <w:lang w:val="en-US" w:eastAsia="ru-RU"/>
        </w:rPr>
        <w:lastRenderedPageBreak/>
        <w:t>I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ab/>
        <w:t xml:space="preserve">границы почвенно-агроэкологических выделов: </w:t>
      </w:r>
      <w:r w:rsidRPr="00CB31D1">
        <w:rPr>
          <w:rFonts w:ascii="Times New Roman" w:eastAsiaTheme="minorEastAsia" w:hAnsi="Times New Roman" w:cs="Times New Roman"/>
          <w:i/>
          <w:spacing w:val="-3"/>
          <w:sz w:val="28"/>
          <w:szCs w:val="28"/>
          <w:lang w:eastAsia="ru-RU"/>
        </w:rPr>
        <w:t>1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- поясов, </w:t>
      </w:r>
      <w:r w:rsidRPr="00CB31D1">
        <w:rPr>
          <w:rFonts w:ascii="Times New Roman" w:eastAsiaTheme="minorEastAsia" w:hAnsi="Times New Roman" w:cs="Times New Roman"/>
          <w:i/>
          <w:spacing w:val="-3"/>
          <w:sz w:val="28"/>
          <w:szCs w:val="28"/>
          <w:lang w:eastAsia="ru-RU"/>
        </w:rPr>
        <w:t>2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- зон, </w:t>
      </w:r>
      <w:r w:rsidRPr="00CB31D1">
        <w:rPr>
          <w:rFonts w:ascii="Times New Roman" w:eastAsiaTheme="minorEastAsia" w:hAnsi="Times New Roman" w:cs="Times New Roman"/>
          <w:i/>
          <w:spacing w:val="-3"/>
          <w:sz w:val="28"/>
          <w:szCs w:val="28"/>
          <w:lang w:eastAsia="ru-RU"/>
        </w:rPr>
        <w:t>3</w:t>
      </w:r>
      <w:r w:rsidRPr="00CB31D1">
        <w:rPr>
          <w:rFonts w:ascii="Times New Roman" w:eastAsiaTheme="minorEastAsia" w:hAnsi="Times New Roman" w:cs="Times New Roman"/>
          <w:i/>
          <w:iCs/>
          <w:spacing w:val="-3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- провинций, </w:t>
      </w:r>
      <w:r w:rsidRPr="00CB31D1">
        <w:rPr>
          <w:rFonts w:ascii="Times New Roman" w:eastAsiaTheme="minorEastAsia" w:hAnsi="Times New Roman" w:cs="Times New Roman"/>
          <w:i/>
          <w:spacing w:val="-3"/>
          <w:sz w:val="28"/>
          <w:szCs w:val="28"/>
          <w:lang w:eastAsia="ru-RU"/>
        </w:rPr>
        <w:t>4</w:t>
      </w:r>
      <w:r w:rsidRPr="00CB31D1">
        <w:rPr>
          <w:rFonts w:ascii="Times New Roman" w:eastAsiaTheme="minorEastAsia" w:hAnsi="Times New Roman" w:cs="Times New Roman"/>
          <w:i/>
          <w:iCs/>
          <w:spacing w:val="-3"/>
          <w:sz w:val="28"/>
          <w:szCs w:val="28"/>
          <w:lang w:eastAsia="ru-RU"/>
        </w:rPr>
        <w:t xml:space="preserve"> - 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горные территории;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3"/>
          <w:sz w:val="28"/>
          <w:szCs w:val="28"/>
          <w:lang w:eastAsia="ru-RU"/>
        </w:rPr>
        <w:t>П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– категории земель по свойствам и процессам,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лимитирующим плодородие почв: </w:t>
      </w:r>
      <w:r w:rsidRPr="00CB31D1">
        <w:rPr>
          <w:rFonts w:ascii="Times New Roman" w:eastAsiaTheme="minorEastAsia" w:hAnsi="Times New Roman" w:cs="Times New Roman"/>
          <w:i/>
          <w:spacing w:val="-2"/>
          <w:sz w:val="28"/>
          <w:szCs w:val="28"/>
          <w:lang w:eastAsia="ru-RU"/>
        </w:rPr>
        <w:t>5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 – кислые; </w:t>
      </w:r>
      <w:r w:rsidRPr="00CB31D1">
        <w:rPr>
          <w:rFonts w:ascii="Times New Roman" w:eastAsiaTheme="minorEastAsia" w:hAnsi="Times New Roman" w:cs="Times New Roman"/>
          <w:i/>
          <w:spacing w:val="-2"/>
          <w:sz w:val="28"/>
          <w:szCs w:val="28"/>
          <w:lang w:eastAsia="ru-RU"/>
        </w:rPr>
        <w:t>6</w:t>
      </w:r>
      <w:r w:rsidRPr="00CB31D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– переувлажненные; </w:t>
      </w:r>
      <w:r w:rsidRPr="00CB31D1">
        <w:rPr>
          <w:rFonts w:ascii="Times New Roman" w:eastAsiaTheme="minorEastAsia" w:hAnsi="Times New Roman" w:cs="Times New Roman"/>
          <w:i/>
          <w:spacing w:val="-2"/>
          <w:sz w:val="28"/>
          <w:szCs w:val="28"/>
          <w:lang w:eastAsia="ru-RU"/>
        </w:rPr>
        <w:t>7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 – эродированные; </w:t>
      </w:r>
      <w:r w:rsidRPr="00CB31D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  <w:lang w:eastAsia="ru-RU"/>
        </w:rPr>
        <w:t xml:space="preserve">8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- дефлированные; </w:t>
      </w:r>
      <w:r w:rsidRPr="00CB31D1">
        <w:rPr>
          <w:rFonts w:ascii="Times New Roman" w:eastAsiaTheme="minorEastAsia" w:hAnsi="Times New Roman" w:cs="Times New Roman"/>
          <w:i/>
          <w:spacing w:val="-2"/>
          <w:sz w:val="28"/>
          <w:szCs w:val="28"/>
          <w:lang w:eastAsia="ru-RU"/>
        </w:rPr>
        <w:t>9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 – засоленные (несолонцовые); </w:t>
      </w:r>
      <w:r w:rsidRPr="00CB31D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  <w:lang w:eastAsia="ru-RU"/>
        </w:rPr>
        <w:t xml:space="preserve">10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– засоленно-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солонцовые; </w:t>
      </w:r>
      <w:r w:rsidRPr="00CB31D1">
        <w:rPr>
          <w:rFonts w:ascii="Times New Roman" w:eastAsiaTheme="minorEastAsia" w:hAnsi="Times New Roman" w:cs="Times New Roman"/>
          <w:i/>
          <w:iCs/>
          <w:spacing w:val="-5"/>
          <w:sz w:val="28"/>
          <w:szCs w:val="28"/>
          <w:lang w:eastAsia="ru-RU"/>
        </w:rPr>
        <w:t xml:space="preserve">11 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– пойменные;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>Ш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ab/>
        <w:t xml:space="preserve">административное деление России: </w:t>
      </w:r>
      <w:r w:rsidRPr="00CB31D1">
        <w:rPr>
          <w:rFonts w:ascii="Times New Roman" w:eastAsiaTheme="minorEastAsia" w:hAnsi="Times New Roman" w:cs="Times New Roman"/>
          <w:i/>
          <w:iCs/>
          <w:spacing w:val="-5"/>
          <w:sz w:val="28"/>
          <w:szCs w:val="28"/>
          <w:lang w:eastAsia="ru-RU"/>
        </w:rPr>
        <w:t xml:space="preserve">12 - 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граница административных областей, краев, республик; </w:t>
      </w:r>
      <w:r w:rsidRPr="00CB31D1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>цифры на схеме соответству</w:t>
      </w:r>
      <w:r w:rsidRPr="00CB31D1">
        <w:rPr>
          <w:rFonts w:ascii="Times New Roman" w:eastAsiaTheme="minorEastAsia" w:hAnsi="Times New Roman" w:cs="Times New Roman"/>
          <w:b/>
          <w:bCs/>
          <w:spacing w:val="-6"/>
          <w:sz w:val="28"/>
          <w:szCs w:val="28"/>
          <w:lang w:eastAsia="ru-RU"/>
        </w:rPr>
        <w:t>ют цифрам, приведенным в скобках ниже.</w:t>
      </w:r>
      <w:r w:rsidRPr="00CB31D1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2" w:firstLine="709"/>
        <w:jc w:val="both"/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>Перечень административных областей (краев, республик) дан с учетом процентного участия сельскохозяйственных зе</w:t>
      </w:r>
      <w:r w:rsidRPr="00CB31D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мель от общей площади области (края, республики).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2" w:firstLine="709"/>
        <w:jc w:val="both"/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>Сельскохозяйственные земли составляют: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b/>
          <w:bCs/>
          <w:spacing w:val="-7"/>
          <w:sz w:val="28"/>
          <w:szCs w:val="28"/>
          <w:lang w:eastAsia="ru-RU"/>
        </w:rPr>
        <w:t>&lt;3%</w:t>
      </w:r>
      <w:r w:rsidRPr="00CB31D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ab/>
        <w:t xml:space="preserve">Архангельская (1), Мурманская (3), Республика Карелия (4), </w:t>
      </w:r>
      <w:r w:rsidRPr="00CB31D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Республика Коми (5), Тюменская (59), Хабаровский край (66), Камчатская (68), Магаданская (69), Сахалинская (70), Республика Саха (71);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>3-10 %</w:t>
      </w:r>
      <w:r w:rsidRPr="00CB31D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i/>
          <w:iCs/>
          <w:spacing w:val="-8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Вологодская (2), 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Ленинградская (6), Томская (58), Иркутская (61), Республика Бурятия (63), Приморский край (65), Амурская (67);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>10-20 %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ab/>
        <w:t xml:space="preserve">Новгородская (7), Костромская (15), Пермская (49), Свердловская (50), Читинская (62), Республика Тува (64);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>20-30 %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ab/>
        <w:t xml:space="preserve"> Псковская (8), Тверская (13), Кировская (23), Кемеровская (55);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>30-50 %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ab/>
        <w:t>Вла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softHyphen/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>димирская (11),  Ивановская (12), Калужская (14), Московская (16), Смоленская (19), Ярославская (21), Нижегородская (22), Республика Мари-Эл (24), Удмурт</w:t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softHyphen/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ская республика (53), Амурская (54), Новосибирская (56), Омская (57);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>50-80 %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– 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ab/>
        <w:t xml:space="preserve">Калининградская (9), Брянская (10), Рязанская (18), Тульская (20), Республика </w:t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>Мордовия (25), Республика Чувашия (26), Белгородская (27), Воронежская (28), Астраханская (32), Волгоградская (33), Самарская (34), Пензенская (35), Улья</w:t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softHyphen/>
      </w:r>
      <w:r w:rsidRPr="00CB31D1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>новская (37), Республика Калмыкия (38), Республика Татарстан (39), Краснодарский край (40), Ставропольский край (41), Республика Дагестан (43), Кабардино-</w:t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>Балкарская (44), Северо-Осетинская (45), Чеченская и Ингушская (46) республики, Курганская (47), Челябинская (51), Республика Башкортостан (52);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  <w:t>&gt;80 %</w:t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 –  </w:t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Орловская (17), Курская (29), Липецкая (30), Тамбовская (31), Саратовская (36), Ростовская (42), Оренбургская (48).</w:t>
      </w:r>
      <w:r w:rsidRPr="00CB31D1"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  <w:t xml:space="preserve"> </w:t>
      </w:r>
    </w:p>
    <w:p w:rsidR="00CB31D1" w:rsidRPr="00CB31D1" w:rsidRDefault="00CB31D1" w:rsidP="00CB31D1">
      <w:pPr>
        <w:spacing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Pr="00CB31D1" w:rsidRDefault="00CB31D1" w:rsidP="00CB31D1">
      <w:pPr>
        <w:spacing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Pr="00CB31D1" w:rsidRDefault="00CB31D1" w:rsidP="00CB31D1">
      <w:pPr>
        <w:spacing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Pr="00CB31D1" w:rsidRDefault="00CB31D1" w:rsidP="00CB31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1D1" w:rsidRPr="00CB31D1" w:rsidRDefault="00CB31D1" w:rsidP="00CB31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1D1" w:rsidRPr="00CB31D1" w:rsidRDefault="00CB31D1" w:rsidP="00CB31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7AB5" w:rsidRDefault="00227AB5" w:rsidP="00CB3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1D1" w:rsidRDefault="00CB31D1" w:rsidP="00CB3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эрозионного районирования Краснодарского края</w:t>
      </w:r>
    </w:p>
    <w:p w:rsidR="00227AB5" w:rsidRPr="00CB31D1" w:rsidRDefault="00227AB5" w:rsidP="00CB3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1D1" w:rsidRPr="00CB31D1" w:rsidRDefault="00CB31D1" w:rsidP="00CB31D1">
      <w:pPr>
        <w:spacing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CB31D1">
        <w:rPr>
          <w:rFonts w:ascii="Times New Roman" w:eastAsia="Times New Roman" w:hAnsi="Times New Roman"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5936239" cy="4943959"/>
            <wp:effectExtent l="19050" t="0" r="7361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1D1" w:rsidRPr="00CB31D1" w:rsidSect="005457CE">
      <w:pgSz w:w="11906" w:h="16838"/>
      <w:pgMar w:top="1134" w:right="850" w:bottom="1134" w:left="1701" w:header="708" w:footer="708" w:gutter="0"/>
      <w:pgNumType w:start="2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EFA" w:rsidRDefault="006A7EFA" w:rsidP="004A3540">
      <w:pPr>
        <w:spacing w:after="0" w:line="240" w:lineRule="auto"/>
      </w:pPr>
      <w:r>
        <w:separator/>
      </w:r>
    </w:p>
  </w:endnote>
  <w:endnote w:type="continuationSeparator" w:id="0">
    <w:p w:rsidR="006A7EFA" w:rsidRDefault="006A7EFA" w:rsidP="004A3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40617"/>
      <w:docPartObj>
        <w:docPartGallery w:val="Page Numbers (Bottom of Page)"/>
        <w:docPartUnique/>
      </w:docPartObj>
    </w:sdtPr>
    <w:sdtContent>
      <w:p w:rsidR="00A23304" w:rsidRDefault="00AA69BC">
        <w:pPr>
          <w:pStyle w:val="aa"/>
          <w:jc w:val="center"/>
        </w:pPr>
        <w:fldSimple w:instr=" PAGE   \* MERGEFORMAT ">
          <w:r w:rsidR="00D9428B">
            <w:rPr>
              <w:noProof/>
            </w:rPr>
            <w:t>28</w:t>
          </w:r>
        </w:fldSimple>
      </w:p>
    </w:sdtContent>
  </w:sdt>
  <w:p w:rsidR="00A23304" w:rsidRDefault="00A2330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EFA" w:rsidRDefault="006A7EFA" w:rsidP="004A3540">
      <w:pPr>
        <w:spacing w:after="0" w:line="240" w:lineRule="auto"/>
      </w:pPr>
      <w:r>
        <w:separator/>
      </w:r>
    </w:p>
  </w:footnote>
  <w:footnote w:type="continuationSeparator" w:id="0">
    <w:p w:rsidR="006A7EFA" w:rsidRDefault="006A7EFA" w:rsidP="004A35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9495E"/>
    <w:multiLevelType w:val="hybridMultilevel"/>
    <w:tmpl w:val="02F49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72745"/>
    <w:multiLevelType w:val="hybridMultilevel"/>
    <w:tmpl w:val="44F4D9D0"/>
    <w:lvl w:ilvl="0" w:tplc="29B8DC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AD576A"/>
    <w:multiLevelType w:val="hybridMultilevel"/>
    <w:tmpl w:val="6A76A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B48A6"/>
    <w:multiLevelType w:val="hybridMultilevel"/>
    <w:tmpl w:val="612AFD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7D4571"/>
    <w:multiLevelType w:val="hybridMultilevel"/>
    <w:tmpl w:val="AB8CD0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5B6DAA"/>
    <w:multiLevelType w:val="hybridMultilevel"/>
    <w:tmpl w:val="094AA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101401"/>
    <w:multiLevelType w:val="hybridMultilevel"/>
    <w:tmpl w:val="4836ADFA"/>
    <w:lvl w:ilvl="0" w:tplc="F990A97A">
      <w:start w:val="1"/>
      <w:numFmt w:val="decimal"/>
      <w:lvlText w:val="%1)"/>
      <w:lvlJc w:val="left"/>
      <w:pPr>
        <w:ind w:left="941" w:hanging="6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5" w:hanging="360"/>
      </w:pPr>
    </w:lvl>
    <w:lvl w:ilvl="2" w:tplc="0419001B" w:tentative="1">
      <w:start w:val="1"/>
      <w:numFmt w:val="lowerRoman"/>
      <w:lvlText w:val="%3."/>
      <w:lvlJc w:val="right"/>
      <w:pPr>
        <w:ind w:left="2045" w:hanging="180"/>
      </w:pPr>
    </w:lvl>
    <w:lvl w:ilvl="3" w:tplc="0419000F" w:tentative="1">
      <w:start w:val="1"/>
      <w:numFmt w:val="decimal"/>
      <w:lvlText w:val="%4."/>
      <w:lvlJc w:val="left"/>
      <w:pPr>
        <w:ind w:left="2765" w:hanging="360"/>
      </w:pPr>
    </w:lvl>
    <w:lvl w:ilvl="4" w:tplc="04190019" w:tentative="1">
      <w:start w:val="1"/>
      <w:numFmt w:val="lowerLetter"/>
      <w:lvlText w:val="%5."/>
      <w:lvlJc w:val="left"/>
      <w:pPr>
        <w:ind w:left="3485" w:hanging="360"/>
      </w:pPr>
    </w:lvl>
    <w:lvl w:ilvl="5" w:tplc="0419001B" w:tentative="1">
      <w:start w:val="1"/>
      <w:numFmt w:val="lowerRoman"/>
      <w:lvlText w:val="%6."/>
      <w:lvlJc w:val="right"/>
      <w:pPr>
        <w:ind w:left="4205" w:hanging="180"/>
      </w:pPr>
    </w:lvl>
    <w:lvl w:ilvl="6" w:tplc="0419000F" w:tentative="1">
      <w:start w:val="1"/>
      <w:numFmt w:val="decimal"/>
      <w:lvlText w:val="%7."/>
      <w:lvlJc w:val="left"/>
      <w:pPr>
        <w:ind w:left="4925" w:hanging="360"/>
      </w:pPr>
    </w:lvl>
    <w:lvl w:ilvl="7" w:tplc="04190019" w:tentative="1">
      <w:start w:val="1"/>
      <w:numFmt w:val="lowerLetter"/>
      <w:lvlText w:val="%8."/>
      <w:lvlJc w:val="left"/>
      <w:pPr>
        <w:ind w:left="5645" w:hanging="360"/>
      </w:pPr>
    </w:lvl>
    <w:lvl w:ilvl="8" w:tplc="041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7">
    <w:nsid w:val="2C0D1B39"/>
    <w:multiLevelType w:val="hybridMultilevel"/>
    <w:tmpl w:val="40EE7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3C0C53"/>
    <w:multiLevelType w:val="hybridMultilevel"/>
    <w:tmpl w:val="6CFEBA40"/>
    <w:lvl w:ilvl="0" w:tplc="31DC1A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14D00FA"/>
    <w:multiLevelType w:val="hybridMultilevel"/>
    <w:tmpl w:val="5CF22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844576"/>
    <w:multiLevelType w:val="hybridMultilevel"/>
    <w:tmpl w:val="1A8CE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0E4CB2"/>
    <w:multiLevelType w:val="hybridMultilevel"/>
    <w:tmpl w:val="E0E0766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3E7204"/>
    <w:multiLevelType w:val="hybridMultilevel"/>
    <w:tmpl w:val="0C36D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0548BF"/>
    <w:multiLevelType w:val="hybridMultilevel"/>
    <w:tmpl w:val="C57CC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F06D91"/>
    <w:multiLevelType w:val="hybridMultilevel"/>
    <w:tmpl w:val="118C7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88E2A11"/>
    <w:multiLevelType w:val="hybridMultilevel"/>
    <w:tmpl w:val="85B048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BB5554"/>
    <w:multiLevelType w:val="hybridMultilevel"/>
    <w:tmpl w:val="612AFD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FD667C"/>
    <w:multiLevelType w:val="hybridMultilevel"/>
    <w:tmpl w:val="85E8BADA"/>
    <w:lvl w:ilvl="0" w:tplc="BF640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977EB2"/>
    <w:multiLevelType w:val="hybridMultilevel"/>
    <w:tmpl w:val="5B8466FC"/>
    <w:lvl w:ilvl="0" w:tplc="4A645A5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9">
    <w:nsid w:val="5BF35379"/>
    <w:multiLevelType w:val="hybridMultilevel"/>
    <w:tmpl w:val="4644F95E"/>
    <w:lvl w:ilvl="0" w:tplc="42948CF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0">
    <w:nsid w:val="5F881EF7"/>
    <w:multiLevelType w:val="hybridMultilevel"/>
    <w:tmpl w:val="C224755C"/>
    <w:lvl w:ilvl="0" w:tplc="C47A07FC">
      <w:start w:val="1"/>
      <w:numFmt w:val="decimal"/>
      <w:lvlText w:val="%1)"/>
      <w:lvlJc w:val="left"/>
      <w:pPr>
        <w:ind w:left="60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5" w:hanging="360"/>
      </w:pPr>
    </w:lvl>
    <w:lvl w:ilvl="2" w:tplc="0419001B" w:tentative="1">
      <w:start w:val="1"/>
      <w:numFmt w:val="lowerRoman"/>
      <w:lvlText w:val="%3."/>
      <w:lvlJc w:val="right"/>
      <w:pPr>
        <w:ind w:left="2045" w:hanging="180"/>
      </w:pPr>
    </w:lvl>
    <w:lvl w:ilvl="3" w:tplc="0419000F" w:tentative="1">
      <w:start w:val="1"/>
      <w:numFmt w:val="decimal"/>
      <w:lvlText w:val="%4."/>
      <w:lvlJc w:val="left"/>
      <w:pPr>
        <w:ind w:left="2765" w:hanging="360"/>
      </w:pPr>
    </w:lvl>
    <w:lvl w:ilvl="4" w:tplc="04190019" w:tentative="1">
      <w:start w:val="1"/>
      <w:numFmt w:val="lowerLetter"/>
      <w:lvlText w:val="%5."/>
      <w:lvlJc w:val="left"/>
      <w:pPr>
        <w:ind w:left="3485" w:hanging="360"/>
      </w:pPr>
    </w:lvl>
    <w:lvl w:ilvl="5" w:tplc="0419001B" w:tentative="1">
      <w:start w:val="1"/>
      <w:numFmt w:val="lowerRoman"/>
      <w:lvlText w:val="%6."/>
      <w:lvlJc w:val="right"/>
      <w:pPr>
        <w:ind w:left="4205" w:hanging="180"/>
      </w:pPr>
    </w:lvl>
    <w:lvl w:ilvl="6" w:tplc="0419000F" w:tentative="1">
      <w:start w:val="1"/>
      <w:numFmt w:val="decimal"/>
      <w:lvlText w:val="%7."/>
      <w:lvlJc w:val="left"/>
      <w:pPr>
        <w:ind w:left="4925" w:hanging="360"/>
      </w:pPr>
    </w:lvl>
    <w:lvl w:ilvl="7" w:tplc="04190019" w:tentative="1">
      <w:start w:val="1"/>
      <w:numFmt w:val="lowerLetter"/>
      <w:lvlText w:val="%8."/>
      <w:lvlJc w:val="left"/>
      <w:pPr>
        <w:ind w:left="5645" w:hanging="360"/>
      </w:pPr>
    </w:lvl>
    <w:lvl w:ilvl="8" w:tplc="041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21">
    <w:nsid w:val="5F9A6A5C"/>
    <w:multiLevelType w:val="hybridMultilevel"/>
    <w:tmpl w:val="EF5081C8"/>
    <w:lvl w:ilvl="0" w:tplc="60AACB46">
      <w:start w:val="1"/>
      <w:numFmt w:val="decimal"/>
      <w:lvlText w:val="%1."/>
      <w:lvlJc w:val="left"/>
      <w:pPr>
        <w:ind w:left="60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2">
    <w:nsid w:val="63323ADD"/>
    <w:multiLevelType w:val="hybridMultilevel"/>
    <w:tmpl w:val="7AB870D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AF917CE"/>
    <w:multiLevelType w:val="hybridMultilevel"/>
    <w:tmpl w:val="612AFD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E0C176D"/>
    <w:multiLevelType w:val="multilevel"/>
    <w:tmpl w:val="0419001D"/>
    <w:styleLink w:val="1"/>
    <w:lvl w:ilvl="0">
      <w:start w:val="1"/>
      <w:numFmt w:val="bullet"/>
      <w:pStyle w:val="a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72AC079E"/>
    <w:multiLevelType w:val="hybridMultilevel"/>
    <w:tmpl w:val="2F5ADDB2"/>
    <w:lvl w:ilvl="0" w:tplc="0419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8EC6D3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8372779"/>
    <w:multiLevelType w:val="hybridMultilevel"/>
    <w:tmpl w:val="5CF22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1A169B"/>
    <w:multiLevelType w:val="hybridMultilevel"/>
    <w:tmpl w:val="4094D0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23"/>
  </w:num>
  <w:num w:numId="4">
    <w:abstractNumId w:val="3"/>
  </w:num>
  <w:num w:numId="5">
    <w:abstractNumId w:val="17"/>
  </w:num>
  <w:num w:numId="6">
    <w:abstractNumId w:val="14"/>
  </w:num>
  <w:num w:numId="7">
    <w:abstractNumId w:val="19"/>
  </w:num>
  <w:num w:numId="8">
    <w:abstractNumId w:val="15"/>
  </w:num>
  <w:num w:numId="9">
    <w:abstractNumId w:val="18"/>
  </w:num>
  <w:num w:numId="10">
    <w:abstractNumId w:val="5"/>
  </w:num>
  <w:num w:numId="11">
    <w:abstractNumId w:val="8"/>
  </w:num>
  <w:num w:numId="12">
    <w:abstractNumId w:val="22"/>
  </w:num>
  <w:num w:numId="13">
    <w:abstractNumId w:val="16"/>
  </w:num>
  <w:num w:numId="14">
    <w:abstractNumId w:val="13"/>
  </w:num>
  <w:num w:numId="15">
    <w:abstractNumId w:val="12"/>
  </w:num>
  <w:num w:numId="16">
    <w:abstractNumId w:val="26"/>
  </w:num>
  <w:num w:numId="17">
    <w:abstractNumId w:val="10"/>
  </w:num>
  <w:num w:numId="18">
    <w:abstractNumId w:val="11"/>
  </w:num>
  <w:num w:numId="19">
    <w:abstractNumId w:val="27"/>
  </w:num>
  <w:num w:numId="20">
    <w:abstractNumId w:val="4"/>
  </w:num>
  <w:num w:numId="21">
    <w:abstractNumId w:val="7"/>
  </w:num>
  <w:num w:numId="22">
    <w:abstractNumId w:val="25"/>
  </w:num>
  <w:num w:numId="23">
    <w:abstractNumId w:val="1"/>
  </w:num>
  <w:num w:numId="24">
    <w:abstractNumId w:val="0"/>
  </w:num>
  <w:num w:numId="25">
    <w:abstractNumId w:val="2"/>
  </w:num>
  <w:num w:numId="26">
    <w:abstractNumId w:val="6"/>
  </w:num>
  <w:num w:numId="27">
    <w:abstractNumId w:val="20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B52C93"/>
    <w:rsid w:val="000C7ABE"/>
    <w:rsid w:val="001073C8"/>
    <w:rsid w:val="00227AB5"/>
    <w:rsid w:val="002405EA"/>
    <w:rsid w:val="00381BB8"/>
    <w:rsid w:val="004A3540"/>
    <w:rsid w:val="005457CE"/>
    <w:rsid w:val="00683356"/>
    <w:rsid w:val="006A7EFA"/>
    <w:rsid w:val="0073613F"/>
    <w:rsid w:val="00746D99"/>
    <w:rsid w:val="007A4B19"/>
    <w:rsid w:val="008436F1"/>
    <w:rsid w:val="008856D0"/>
    <w:rsid w:val="008E643B"/>
    <w:rsid w:val="00927FCB"/>
    <w:rsid w:val="00972E6E"/>
    <w:rsid w:val="00993913"/>
    <w:rsid w:val="00A23304"/>
    <w:rsid w:val="00A37301"/>
    <w:rsid w:val="00A95838"/>
    <w:rsid w:val="00AA69BC"/>
    <w:rsid w:val="00AC1F77"/>
    <w:rsid w:val="00B52C93"/>
    <w:rsid w:val="00B9302A"/>
    <w:rsid w:val="00BF688A"/>
    <w:rsid w:val="00CB31D1"/>
    <w:rsid w:val="00CC6A69"/>
    <w:rsid w:val="00D877FB"/>
    <w:rsid w:val="00D9428B"/>
    <w:rsid w:val="00DB204F"/>
    <w:rsid w:val="00DE3F86"/>
    <w:rsid w:val="00E52EDC"/>
    <w:rsid w:val="00E72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405EA"/>
  </w:style>
  <w:style w:type="paragraph" w:styleId="10">
    <w:name w:val="heading 1"/>
    <w:basedOn w:val="a0"/>
    <w:next w:val="a0"/>
    <w:link w:val="11"/>
    <w:qFormat/>
    <w:rsid w:val="0073613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nhideWhenUsed/>
    <w:qFormat/>
    <w:rsid w:val="007361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0"/>
    <w:next w:val="a0"/>
    <w:link w:val="30"/>
    <w:qFormat/>
    <w:rsid w:val="0073613F"/>
    <w:pPr>
      <w:keepNext/>
      <w:shd w:val="clear" w:color="auto" w:fill="FFFFFF"/>
      <w:spacing w:after="0" w:line="360" w:lineRule="auto"/>
      <w:ind w:firstLine="72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73613F"/>
    <w:pPr>
      <w:keepNext/>
      <w:shd w:val="clear" w:color="auto" w:fill="FFFFFF"/>
      <w:spacing w:after="0" w:line="360" w:lineRule="auto"/>
      <w:ind w:firstLine="720"/>
      <w:jc w:val="right"/>
      <w:outlineLvl w:val="3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73613F"/>
    <w:pPr>
      <w:keepNext/>
      <w:spacing w:after="0" w:line="360" w:lineRule="auto"/>
      <w:ind w:firstLine="709"/>
      <w:jc w:val="right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73613F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73613F"/>
    <w:pPr>
      <w:keepNext/>
      <w:spacing w:after="0" w:line="360" w:lineRule="auto"/>
      <w:ind w:firstLine="709"/>
      <w:jc w:val="right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73613F"/>
    <w:pPr>
      <w:keepNext/>
      <w:spacing w:after="0" w:line="360" w:lineRule="auto"/>
      <w:ind w:firstLine="709"/>
      <w:jc w:val="center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73613F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73613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7361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73613F"/>
    <w:rPr>
      <w:rFonts w:ascii="Times New Roman" w:eastAsia="Times New Roman" w:hAnsi="Times New Roman" w:cs="Times New Roman"/>
      <w:b/>
      <w:bCs/>
      <w:sz w:val="28"/>
      <w:szCs w:val="20"/>
      <w:shd w:val="clear" w:color="auto" w:fill="FFFFFF"/>
      <w:lang w:eastAsia="ru-RU"/>
    </w:rPr>
  </w:style>
  <w:style w:type="character" w:customStyle="1" w:styleId="40">
    <w:name w:val="Заголовок 4 Знак"/>
    <w:basedOn w:val="a1"/>
    <w:link w:val="4"/>
    <w:rsid w:val="0073613F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50">
    <w:name w:val="Заголовок 5 Знак"/>
    <w:basedOn w:val="a1"/>
    <w:link w:val="5"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73613F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73613F"/>
  </w:style>
  <w:style w:type="paragraph" w:styleId="a4">
    <w:name w:val="Title"/>
    <w:basedOn w:val="a0"/>
    <w:link w:val="a5"/>
    <w:qFormat/>
    <w:rsid w:val="0073613F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basedOn w:val="a1"/>
    <w:link w:val="a4"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0"/>
    <w:uiPriority w:val="34"/>
    <w:qFormat/>
    <w:rsid w:val="007361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Стиль1"/>
    <w:rsid w:val="0073613F"/>
    <w:pPr>
      <w:numPr>
        <w:numId w:val="1"/>
      </w:numPr>
    </w:pPr>
  </w:style>
  <w:style w:type="paragraph" w:customStyle="1" w:styleId="a">
    <w:name w:val="список с точками"/>
    <w:basedOn w:val="a0"/>
    <w:rsid w:val="0073613F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73613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1"/>
    <w:link w:val="a7"/>
    <w:uiPriority w:val="99"/>
    <w:semiHidden/>
    <w:rsid w:val="0073613F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2"/>
    <w:uiPriority w:val="59"/>
    <w:rsid w:val="00736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0"/>
    <w:link w:val="ab"/>
    <w:uiPriority w:val="99"/>
    <w:unhideWhenUsed/>
    <w:rsid w:val="0073613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Нижний колонтитул Знак"/>
    <w:basedOn w:val="a1"/>
    <w:link w:val="aa"/>
    <w:uiPriority w:val="99"/>
    <w:rsid w:val="0073613F"/>
    <w:rPr>
      <w:rFonts w:eastAsiaTheme="minorEastAsia"/>
      <w:lang w:eastAsia="ru-RU"/>
    </w:rPr>
  </w:style>
  <w:style w:type="table" w:customStyle="1" w:styleId="13">
    <w:name w:val="Сетка таблицы1"/>
    <w:basedOn w:val="a2"/>
    <w:next w:val="a9"/>
    <w:uiPriority w:val="59"/>
    <w:rsid w:val="0073613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0"/>
    <w:link w:val="ad"/>
    <w:semiHidden/>
    <w:unhideWhenUsed/>
    <w:rsid w:val="007361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Верхний колонтитул Знак"/>
    <w:basedOn w:val="a1"/>
    <w:link w:val="ac"/>
    <w:semiHidden/>
    <w:rsid w:val="0073613F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73613F"/>
  </w:style>
  <w:style w:type="character" w:customStyle="1" w:styleId="FontStyle76">
    <w:name w:val="Font Style76"/>
    <w:basedOn w:val="a1"/>
    <w:uiPriority w:val="99"/>
    <w:rsid w:val="0073613F"/>
    <w:rPr>
      <w:rFonts w:ascii="Courier New" w:hAnsi="Courier New" w:cs="Courier New"/>
      <w:spacing w:val="-20"/>
      <w:sz w:val="18"/>
      <w:szCs w:val="18"/>
    </w:rPr>
  </w:style>
  <w:style w:type="paragraph" w:customStyle="1" w:styleId="Style1">
    <w:name w:val="Style1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77">
    <w:name w:val="Font Style77"/>
    <w:basedOn w:val="a1"/>
    <w:uiPriority w:val="99"/>
    <w:rsid w:val="0073613F"/>
    <w:rPr>
      <w:rFonts w:ascii="Courier New" w:hAnsi="Courier New" w:cs="Courier New"/>
      <w:b/>
      <w:bCs/>
      <w:spacing w:val="-20"/>
      <w:sz w:val="18"/>
      <w:szCs w:val="18"/>
    </w:rPr>
  </w:style>
  <w:style w:type="paragraph" w:customStyle="1" w:styleId="Style5">
    <w:name w:val="Style5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78">
    <w:name w:val="Font Style78"/>
    <w:basedOn w:val="a1"/>
    <w:uiPriority w:val="99"/>
    <w:rsid w:val="0073613F"/>
    <w:rPr>
      <w:rFonts w:ascii="Courier New" w:hAnsi="Courier New" w:cs="Courier New"/>
      <w:spacing w:val="-10"/>
      <w:sz w:val="18"/>
      <w:szCs w:val="18"/>
    </w:rPr>
  </w:style>
  <w:style w:type="paragraph" w:customStyle="1" w:styleId="Style6">
    <w:name w:val="Style6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79">
    <w:name w:val="Font Style79"/>
    <w:basedOn w:val="a1"/>
    <w:uiPriority w:val="99"/>
    <w:rsid w:val="0073613F"/>
    <w:rPr>
      <w:rFonts w:ascii="Book Antiqua" w:hAnsi="Book Antiqua" w:cs="Book Antiqua"/>
      <w:smallCaps/>
      <w:sz w:val="16"/>
      <w:szCs w:val="16"/>
    </w:rPr>
  </w:style>
  <w:style w:type="paragraph" w:customStyle="1" w:styleId="Style3">
    <w:name w:val="Style3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1">
    <w:name w:val="Font Style101"/>
    <w:basedOn w:val="a1"/>
    <w:uiPriority w:val="99"/>
    <w:rsid w:val="0073613F"/>
    <w:rPr>
      <w:rFonts w:ascii="Book Antiqua" w:hAnsi="Book Antiqua" w:cs="Book Antiqua"/>
      <w:b/>
      <w:bCs/>
      <w:spacing w:val="-20"/>
      <w:sz w:val="22"/>
      <w:szCs w:val="22"/>
    </w:rPr>
  </w:style>
  <w:style w:type="character" w:customStyle="1" w:styleId="FontStyle104">
    <w:name w:val="Font Style104"/>
    <w:basedOn w:val="a1"/>
    <w:uiPriority w:val="99"/>
    <w:rsid w:val="0073613F"/>
    <w:rPr>
      <w:rFonts w:ascii="Candara" w:hAnsi="Candara" w:cs="Candara"/>
      <w:sz w:val="16"/>
      <w:szCs w:val="16"/>
    </w:rPr>
  </w:style>
  <w:style w:type="paragraph" w:customStyle="1" w:styleId="Style20">
    <w:name w:val="Style20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0">
    <w:name w:val="Font Style80"/>
    <w:basedOn w:val="a1"/>
    <w:uiPriority w:val="99"/>
    <w:rsid w:val="0073613F"/>
    <w:rPr>
      <w:rFonts w:ascii="Palatino Linotype" w:hAnsi="Palatino Linotype" w:cs="Palatino Linotype"/>
      <w:b/>
      <w:bCs/>
      <w:i/>
      <w:iCs/>
      <w:sz w:val="16"/>
      <w:szCs w:val="16"/>
    </w:rPr>
  </w:style>
  <w:style w:type="character" w:customStyle="1" w:styleId="FontStyle89">
    <w:name w:val="Font Style89"/>
    <w:basedOn w:val="a1"/>
    <w:uiPriority w:val="99"/>
    <w:rsid w:val="0073613F"/>
    <w:rPr>
      <w:rFonts w:ascii="Candara" w:hAnsi="Candara" w:cs="Candara"/>
      <w:spacing w:val="10"/>
      <w:sz w:val="18"/>
      <w:szCs w:val="18"/>
    </w:rPr>
  </w:style>
  <w:style w:type="paragraph" w:customStyle="1" w:styleId="Style27">
    <w:name w:val="Style27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2">
    <w:name w:val="Font Style82"/>
    <w:basedOn w:val="a1"/>
    <w:uiPriority w:val="99"/>
    <w:rsid w:val="0073613F"/>
    <w:rPr>
      <w:rFonts w:ascii="Courier New" w:hAnsi="Courier New" w:cs="Courier New"/>
      <w:i/>
      <w:iCs/>
      <w:sz w:val="22"/>
      <w:szCs w:val="22"/>
    </w:rPr>
  </w:style>
  <w:style w:type="character" w:customStyle="1" w:styleId="FontStyle81">
    <w:name w:val="Font Style81"/>
    <w:basedOn w:val="a1"/>
    <w:uiPriority w:val="99"/>
    <w:rsid w:val="0073613F"/>
    <w:rPr>
      <w:rFonts w:ascii="Courier New" w:hAnsi="Courier New" w:cs="Courier New"/>
      <w:spacing w:val="-10"/>
      <w:sz w:val="18"/>
      <w:szCs w:val="18"/>
    </w:rPr>
  </w:style>
  <w:style w:type="paragraph" w:customStyle="1" w:styleId="Style31">
    <w:name w:val="Style31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3">
    <w:name w:val="Font Style103"/>
    <w:basedOn w:val="a1"/>
    <w:uiPriority w:val="99"/>
    <w:rsid w:val="0073613F"/>
    <w:rPr>
      <w:rFonts w:ascii="Courier New" w:hAnsi="Courier New" w:cs="Courier New"/>
      <w:i/>
      <w:iCs/>
      <w:spacing w:val="60"/>
      <w:sz w:val="18"/>
      <w:szCs w:val="18"/>
    </w:rPr>
  </w:style>
  <w:style w:type="paragraph" w:customStyle="1" w:styleId="Style32">
    <w:name w:val="Style32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38">
    <w:name w:val="Style38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3">
    <w:name w:val="Font Style83"/>
    <w:basedOn w:val="a1"/>
    <w:uiPriority w:val="99"/>
    <w:rsid w:val="0073613F"/>
    <w:rPr>
      <w:rFonts w:ascii="Palatino Linotype" w:hAnsi="Palatino Linotype" w:cs="Palatino Linotype"/>
      <w:spacing w:val="20"/>
      <w:sz w:val="20"/>
      <w:szCs w:val="20"/>
    </w:rPr>
  </w:style>
  <w:style w:type="character" w:customStyle="1" w:styleId="FontStyle93">
    <w:name w:val="Font Style93"/>
    <w:basedOn w:val="a1"/>
    <w:uiPriority w:val="99"/>
    <w:rsid w:val="0073613F"/>
    <w:rPr>
      <w:rFonts w:ascii="Book Antiqua" w:hAnsi="Book Antiqua" w:cs="Book Antiqua"/>
      <w:b/>
      <w:bCs/>
      <w:i/>
      <w:iCs/>
      <w:spacing w:val="80"/>
      <w:sz w:val="16"/>
      <w:szCs w:val="16"/>
    </w:rPr>
  </w:style>
  <w:style w:type="character" w:customStyle="1" w:styleId="FontStyle84">
    <w:name w:val="Font Style84"/>
    <w:basedOn w:val="a1"/>
    <w:uiPriority w:val="99"/>
    <w:rsid w:val="0073613F"/>
    <w:rPr>
      <w:rFonts w:ascii="Book Antiqua" w:hAnsi="Book Antiqua" w:cs="Book Antiqua"/>
      <w:i/>
      <w:iCs/>
      <w:spacing w:val="10"/>
      <w:sz w:val="16"/>
      <w:szCs w:val="16"/>
    </w:rPr>
  </w:style>
  <w:style w:type="character" w:customStyle="1" w:styleId="FontStyle85">
    <w:name w:val="Font Style85"/>
    <w:basedOn w:val="a1"/>
    <w:uiPriority w:val="99"/>
    <w:rsid w:val="0073613F"/>
    <w:rPr>
      <w:rFonts w:ascii="Courier New" w:hAnsi="Courier New" w:cs="Courier New"/>
      <w:b/>
      <w:bCs/>
      <w:i/>
      <w:iCs/>
      <w:sz w:val="20"/>
      <w:szCs w:val="20"/>
    </w:rPr>
  </w:style>
  <w:style w:type="paragraph" w:customStyle="1" w:styleId="Style35">
    <w:name w:val="Style35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4">
    <w:name w:val="Style44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6">
    <w:name w:val="Font Style86"/>
    <w:basedOn w:val="a1"/>
    <w:uiPriority w:val="99"/>
    <w:rsid w:val="0073613F"/>
    <w:rPr>
      <w:rFonts w:ascii="Palatino Linotype" w:hAnsi="Palatino Linotype" w:cs="Palatino Linotype"/>
      <w:b/>
      <w:bCs/>
      <w:sz w:val="28"/>
      <w:szCs w:val="28"/>
    </w:rPr>
  </w:style>
  <w:style w:type="paragraph" w:customStyle="1" w:styleId="Style46">
    <w:name w:val="Style46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7">
    <w:name w:val="Font Style87"/>
    <w:basedOn w:val="a1"/>
    <w:uiPriority w:val="99"/>
    <w:rsid w:val="0073613F"/>
    <w:rPr>
      <w:rFonts w:ascii="Courier New" w:hAnsi="Courier New" w:cs="Courier New"/>
      <w:spacing w:val="-10"/>
      <w:sz w:val="18"/>
      <w:szCs w:val="18"/>
    </w:rPr>
  </w:style>
  <w:style w:type="paragraph" w:customStyle="1" w:styleId="Style48">
    <w:name w:val="Style48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9">
    <w:name w:val="Style49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4">
    <w:name w:val="Style54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6">
    <w:name w:val="Style56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0">
    <w:name w:val="Style70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2">
    <w:name w:val="Style72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6">
    <w:name w:val="Style66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12">
    <w:name w:val="Font Style112"/>
    <w:basedOn w:val="a1"/>
    <w:uiPriority w:val="99"/>
    <w:rsid w:val="0073613F"/>
    <w:rPr>
      <w:rFonts w:ascii="Courier New" w:hAnsi="Courier New" w:cs="Courier New"/>
      <w:b/>
      <w:bCs/>
      <w:sz w:val="14"/>
      <w:szCs w:val="14"/>
    </w:rPr>
  </w:style>
  <w:style w:type="character" w:customStyle="1" w:styleId="FontStyle108">
    <w:name w:val="Font Style108"/>
    <w:basedOn w:val="a1"/>
    <w:uiPriority w:val="99"/>
    <w:rsid w:val="0073613F"/>
    <w:rPr>
      <w:rFonts w:ascii="Courier New" w:hAnsi="Courier New" w:cs="Courier New"/>
      <w:spacing w:val="-20"/>
      <w:sz w:val="20"/>
      <w:szCs w:val="20"/>
    </w:rPr>
  </w:style>
  <w:style w:type="paragraph" w:customStyle="1" w:styleId="Style57">
    <w:name w:val="Style57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5">
    <w:name w:val="Style55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2">
    <w:name w:val="Style62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7">
    <w:name w:val="Style67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8">
    <w:name w:val="Style68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1">
    <w:name w:val="Style71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3">
    <w:name w:val="Style73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9">
    <w:name w:val="Style69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13">
    <w:name w:val="Font Style113"/>
    <w:basedOn w:val="a1"/>
    <w:uiPriority w:val="99"/>
    <w:rsid w:val="0073613F"/>
    <w:rPr>
      <w:rFonts w:ascii="Courier New" w:hAnsi="Courier New" w:cs="Courier New"/>
      <w:sz w:val="20"/>
      <w:szCs w:val="20"/>
    </w:rPr>
  </w:style>
  <w:style w:type="paragraph" w:customStyle="1" w:styleId="Style59">
    <w:name w:val="Style59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8">
    <w:name w:val="Font Style88"/>
    <w:basedOn w:val="a1"/>
    <w:uiPriority w:val="99"/>
    <w:rsid w:val="0073613F"/>
    <w:rPr>
      <w:rFonts w:ascii="Cambria" w:hAnsi="Cambria" w:cs="Cambria"/>
      <w:sz w:val="22"/>
      <w:szCs w:val="22"/>
    </w:rPr>
  </w:style>
  <w:style w:type="paragraph" w:customStyle="1" w:styleId="Style45">
    <w:name w:val="Style45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0">
    <w:name w:val="Font Style90"/>
    <w:basedOn w:val="a1"/>
    <w:uiPriority w:val="99"/>
    <w:rsid w:val="0073613F"/>
    <w:rPr>
      <w:rFonts w:ascii="Arial" w:hAnsi="Arial" w:cs="Arial"/>
      <w:b/>
      <w:bCs/>
      <w:i/>
      <w:iCs/>
      <w:spacing w:val="-20"/>
      <w:sz w:val="16"/>
      <w:szCs w:val="16"/>
    </w:rPr>
  </w:style>
  <w:style w:type="paragraph" w:customStyle="1" w:styleId="Style36">
    <w:name w:val="Style36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1">
    <w:name w:val="Font Style91"/>
    <w:basedOn w:val="a1"/>
    <w:uiPriority w:val="99"/>
    <w:rsid w:val="0073613F"/>
    <w:rPr>
      <w:rFonts w:ascii="Courier New" w:hAnsi="Courier New" w:cs="Courier New"/>
      <w:i/>
      <w:iCs/>
      <w:sz w:val="20"/>
      <w:szCs w:val="20"/>
    </w:rPr>
  </w:style>
  <w:style w:type="paragraph" w:customStyle="1" w:styleId="Style24">
    <w:name w:val="Style24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2">
    <w:name w:val="Font Style92"/>
    <w:basedOn w:val="a1"/>
    <w:uiPriority w:val="99"/>
    <w:rsid w:val="0073613F"/>
    <w:rPr>
      <w:rFonts w:ascii="Franklin Gothic Medium Cond" w:hAnsi="Franklin Gothic Medium Cond" w:cs="Franklin Gothic Medium Cond"/>
      <w:sz w:val="18"/>
      <w:szCs w:val="18"/>
    </w:rPr>
  </w:style>
  <w:style w:type="character" w:customStyle="1" w:styleId="FontStyle111">
    <w:name w:val="Font Style111"/>
    <w:basedOn w:val="a1"/>
    <w:uiPriority w:val="99"/>
    <w:rsid w:val="0073613F"/>
    <w:rPr>
      <w:rFonts w:ascii="Courier New" w:hAnsi="Courier New" w:cs="Courier New"/>
      <w:b/>
      <w:bCs/>
      <w:sz w:val="16"/>
      <w:szCs w:val="16"/>
    </w:rPr>
  </w:style>
  <w:style w:type="paragraph" w:customStyle="1" w:styleId="Style21">
    <w:name w:val="Style21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4">
    <w:name w:val="Style74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0">
    <w:name w:val="Style60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4">
    <w:name w:val="Font Style94"/>
    <w:basedOn w:val="a1"/>
    <w:uiPriority w:val="99"/>
    <w:rsid w:val="0073613F"/>
    <w:rPr>
      <w:rFonts w:ascii="Courier New" w:hAnsi="Courier New" w:cs="Courier New"/>
      <w:i/>
      <w:iCs/>
      <w:sz w:val="18"/>
      <w:szCs w:val="18"/>
    </w:rPr>
  </w:style>
  <w:style w:type="character" w:customStyle="1" w:styleId="FontStyle95">
    <w:name w:val="Font Style95"/>
    <w:basedOn w:val="a1"/>
    <w:uiPriority w:val="99"/>
    <w:rsid w:val="0073613F"/>
    <w:rPr>
      <w:rFonts w:ascii="Candara" w:hAnsi="Candara" w:cs="Candara"/>
      <w:i/>
      <w:iCs/>
      <w:spacing w:val="30"/>
      <w:sz w:val="18"/>
      <w:szCs w:val="18"/>
    </w:rPr>
  </w:style>
  <w:style w:type="paragraph" w:customStyle="1" w:styleId="Style42">
    <w:name w:val="Style42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8">
    <w:name w:val="Font Style98"/>
    <w:basedOn w:val="a1"/>
    <w:uiPriority w:val="99"/>
    <w:rsid w:val="0073613F"/>
    <w:rPr>
      <w:rFonts w:ascii="Courier New" w:hAnsi="Courier New" w:cs="Courier New"/>
      <w:b/>
      <w:bCs/>
      <w:i/>
      <w:iCs/>
      <w:sz w:val="20"/>
      <w:szCs w:val="20"/>
    </w:rPr>
  </w:style>
  <w:style w:type="paragraph" w:customStyle="1" w:styleId="Style34">
    <w:name w:val="Style34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9">
    <w:name w:val="Font Style99"/>
    <w:basedOn w:val="a1"/>
    <w:uiPriority w:val="99"/>
    <w:rsid w:val="0073613F"/>
    <w:rPr>
      <w:rFonts w:ascii="Book Antiqua" w:hAnsi="Book Antiqua" w:cs="Book Antiqua"/>
      <w:b/>
      <w:bCs/>
      <w:smallCaps/>
      <w:sz w:val="16"/>
      <w:szCs w:val="16"/>
    </w:rPr>
  </w:style>
  <w:style w:type="paragraph" w:customStyle="1" w:styleId="Style33">
    <w:name w:val="Style33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7">
    <w:name w:val="Font Style97"/>
    <w:basedOn w:val="a1"/>
    <w:uiPriority w:val="99"/>
    <w:rsid w:val="0073613F"/>
    <w:rPr>
      <w:rFonts w:ascii="Courier New" w:hAnsi="Courier New" w:cs="Courier New"/>
      <w:b/>
      <w:bCs/>
      <w:sz w:val="20"/>
      <w:szCs w:val="20"/>
    </w:rPr>
  </w:style>
  <w:style w:type="paragraph" w:customStyle="1" w:styleId="Style50">
    <w:name w:val="Style50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6">
    <w:name w:val="Font Style96"/>
    <w:basedOn w:val="a1"/>
    <w:uiPriority w:val="99"/>
    <w:rsid w:val="0073613F"/>
    <w:rPr>
      <w:rFonts w:ascii="Century Schoolbook" w:hAnsi="Century Schoolbook" w:cs="Century Schoolbook"/>
      <w:b/>
      <w:bCs/>
      <w:i/>
      <w:iCs/>
      <w:sz w:val="26"/>
      <w:szCs w:val="26"/>
    </w:rPr>
  </w:style>
  <w:style w:type="paragraph" w:customStyle="1" w:styleId="Style26">
    <w:name w:val="Style26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4">
    <w:name w:val="Style64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0">
    <w:name w:val="Font Style100"/>
    <w:basedOn w:val="a1"/>
    <w:uiPriority w:val="99"/>
    <w:rsid w:val="0073613F"/>
    <w:rPr>
      <w:rFonts w:ascii="Courier New" w:hAnsi="Courier New" w:cs="Courier New"/>
      <w:b/>
      <w:bCs/>
      <w:i/>
      <w:iCs/>
      <w:spacing w:val="10"/>
      <w:sz w:val="18"/>
      <w:szCs w:val="18"/>
    </w:rPr>
  </w:style>
  <w:style w:type="paragraph" w:customStyle="1" w:styleId="Style43">
    <w:name w:val="Style43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2">
    <w:name w:val="Font Style102"/>
    <w:basedOn w:val="a1"/>
    <w:uiPriority w:val="99"/>
    <w:rsid w:val="0073613F"/>
    <w:rPr>
      <w:rFonts w:ascii="Franklin Gothic Medium" w:hAnsi="Franklin Gothic Medium" w:cs="Franklin Gothic Medium"/>
      <w:b/>
      <w:bCs/>
      <w:sz w:val="16"/>
      <w:szCs w:val="16"/>
    </w:rPr>
  </w:style>
  <w:style w:type="paragraph" w:customStyle="1" w:styleId="Style39">
    <w:name w:val="Style39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3">
    <w:name w:val="Style63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7">
    <w:name w:val="Style47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1">
    <w:name w:val="Style41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5">
    <w:name w:val="Font Style105"/>
    <w:basedOn w:val="a1"/>
    <w:uiPriority w:val="99"/>
    <w:rsid w:val="0073613F"/>
    <w:rPr>
      <w:rFonts w:ascii="Courier New" w:hAnsi="Courier New" w:cs="Courier New"/>
      <w:b/>
      <w:bCs/>
      <w:spacing w:val="-20"/>
      <w:sz w:val="20"/>
      <w:szCs w:val="20"/>
    </w:rPr>
  </w:style>
  <w:style w:type="paragraph" w:customStyle="1" w:styleId="Style30">
    <w:name w:val="Style30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1">
    <w:name w:val="Style61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8">
    <w:name w:val="Style58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6">
    <w:name w:val="Font Style106"/>
    <w:basedOn w:val="a1"/>
    <w:uiPriority w:val="99"/>
    <w:rsid w:val="0073613F"/>
    <w:rPr>
      <w:rFonts w:ascii="Tahoma" w:hAnsi="Tahoma" w:cs="Tahoma"/>
      <w:i/>
      <w:iCs/>
      <w:spacing w:val="20"/>
      <w:sz w:val="14"/>
      <w:szCs w:val="14"/>
    </w:rPr>
  </w:style>
  <w:style w:type="character" w:customStyle="1" w:styleId="FontStyle107">
    <w:name w:val="Font Style107"/>
    <w:basedOn w:val="a1"/>
    <w:uiPriority w:val="99"/>
    <w:rsid w:val="0073613F"/>
    <w:rPr>
      <w:rFonts w:ascii="Courier New" w:hAnsi="Courier New" w:cs="Courier New"/>
      <w:b/>
      <w:bCs/>
      <w:spacing w:val="-10"/>
      <w:sz w:val="22"/>
      <w:szCs w:val="22"/>
    </w:rPr>
  </w:style>
  <w:style w:type="paragraph" w:customStyle="1" w:styleId="Style40">
    <w:name w:val="Style40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9">
    <w:name w:val="Font Style109"/>
    <w:basedOn w:val="a1"/>
    <w:uiPriority w:val="99"/>
    <w:rsid w:val="0073613F"/>
    <w:rPr>
      <w:rFonts w:ascii="Franklin Gothic Medium Cond" w:hAnsi="Franklin Gothic Medium Cond" w:cs="Franklin Gothic Medium Cond"/>
      <w:b/>
      <w:bCs/>
      <w:sz w:val="36"/>
      <w:szCs w:val="36"/>
    </w:rPr>
  </w:style>
  <w:style w:type="paragraph" w:customStyle="1" w:styleId="Style25">
    <w:name w:val="Style25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2">
    <w:name w:val="Style52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10">
    <w:name w:val="Font Style110"/>
    <w:basedOn w:val="a1"/>
    <w:uiPriority w:val="99"/>
    <w:rsid w:val="0073613F"/>
    <w:rPr>
      <w:rFonts w:ascii="Candara" w:hAnsi="Candara" w:cs="Candara"/>
      <w:sz w:val="28"/>
      <w:szCs w:val="28"/>
    </w:rPr>
  </w:style>
  <w:style w:type="paragraph" w:customStyle="1" w:styleId="Style51">
    <w:name w:val="Style51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268">
    <w:name w:val="Font Style268"/>
    <w:uiPriority w:val="99"/>
    <w:rsid w:val="0073613F"/>
    <w:rPr>
      <w:rFonts w:ascii="Times New Roman" w:hAnsi="Times New Roman" w:cs="Times New Roman"/>
      <w:sz w:val="18"/>
      <w:szCs w:val="18"/>
    </w:rPr>
  </w:style>
  <w:style w:type="character" w:customStyle="1" w:styleId="FontStyle274">
    <w:name w:val="Font Style274"/>
    <w:uiPriority w:val="99"/>
    <w:rsid w:val="0073613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91">
    <w:name w:val="Font Style391"/>
    <w:basedOn w:val="a1"/>
    <w:uiPriority w:val="99"/>
    <w:rsid w:val="0073613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93">
    <w:name w:val="Font Style393"/>
    <w:basedOn w:val="a1"/>
    <w:uiPriority w:val="99"/>
    <w:rsid w:val="0073613F"/>
    <w:rPr>
      <w:rFonts w:ascii="Times New Roman" w:hAnsi="Times New Roman" w:cs="Times New Roman"/>
      <w:sz w:val="20"/>
      <w:szCs w:val="20"/>
    </w:rPr>
  </w:style>
  <w:style w:type="paragraph" w:styleId="ae">
    <w:name w:val="Body Text"/>
    <w:basedOn w:val="a0"/>
    <w:link w:val="af"/>
    <w:rsid w:val="007361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1"/>
    <w:link w:val="ae"/>
    <w:rsid w:val="007361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semiHidden/>
    <w:unhideWhenUsed/>
    <w:rsid w:val="0073613F"/>
    <w:pPr>
      <w:spacing w:after="120" w:line="480" w:lineRule="auto"/>
    </w:pPr>
    <w:rPr>
      <w:rFonts w:eastAsiaTheme="minorEastAsia"/>
      <w:lang w:eastAsia="ru-RU"/>
    </w:rPr>
  </w:style>
  <w:style w:type="character" w:customStyle="1" w:styleId="22">
    <w:name w:val="Основной текст 2 Знак"/>
    <w:basedOn w:val="a1"/>
    <w:link w:val="21"/>
    <w:semiHidden/>
    <w:rsid w:val="0073613F"/>
    <w:rPr>
      <w:rFonts w:eastAsiaTheme="minorEastAsia"/>
      <w:lang w:eastAsia="ru-RU"/>
    </w:rPr>
  </w:style>
  <w:style w:type="character" w:customStyle="1" w:styleId="17">
    <w:name w:val="Знак Знак17"/>
    <w:basedOn w:val="a1"/>
    <w:rsid w:val="0073613F"/>
    <w:rPr>
      <w:rFonts w:ascii="Times New Roman" w:eastAsia="Times New Roman" w:hAnsi="Times New Roman" w:cs="Times New Roman"/>
      <w:sz w:val="36"/>
      <w:szCs w:val="20"/>
    </w:rPr>
  </w:style>
  <w:style w:type="character" w:customStyle="1" w:styleId="18">
    <w:name w:val="Знак Знак18"/>
    <w:basedOn w:val="a1"/>
    <w:rsid w:val="0073613F"/>
    <w:rPr>
      <w:rFonts w:ascii="Times New Roman" w:eastAsia="Times New Roman" w:hAnsi="Times New Roman" w:cs="Times New Roman"/>
      <w:sz w:val="28"/>
      <w:szCs w:val="24"/>
    </w:rPr>
  </w:style>
  <w:style w:type="character" w:customStyle="1" w:styleId="16">
    <w:name w:val="Знак Знак16"/>
    <w:basedOn w:val="a1"/>
    <w:rsid w:val="0073613F"/>
    <w:rPr>
      <w:rFonts w:ascii="Times New Roman" w:eastAsia="Times New Roman" w:hAnsi="Times New Roman" w:cs="Times New Roman"/>
      <w:b/>
      <w:bCs/>
      <w:sz w:val="28"/>
      <w:szCs w:val="20"/>
      <w:shd w:val="clear" w:color="auto" w:fill="FFFFFF"/>
    </w:rPr>
  </w:style>
  <w:style w:type="character" w:customStyle="1" w:styleId="15">
    <w:name w:val="Знак Знак15"/>
    <w:basedOn w:val="a1"/>
    <w:rsid w:val="0073613F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  <w:style w:type="character" w:customStyle="1" w:styleId="14">
    <w:name w:val="Знак Знак14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character" w:customStyle="1" w:styleId="130">
    <w:name w:val="Знак Знак13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character" w:customStyle="1" w:styleId="120">
    <w:name w:val="Знак Знак12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character" w:customStyle="1" w:styleId="111">
    <w:name w:val="Знак Знак11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character" w:customStyle="1" w:styleId="100">
    <w:name w:val="Знак Знак10"/>
    <w:basedOn w:val="a1"/>
    <w:rsid w:val="0073613F"/>
    <w:rPr>
      <w:rFonts w:ascii="Times New Roman" w:eastAsia="Times New Roman" w:hAnsi="Times New Roman" w:cs="Times New Roman"/>
      <w:sz w:val="24"/>
      <w:szCs w:val="20"/>
    </w:rPr>
  </w:style>
  <w:style w:type="paragraph" w:styleId="af0">
    <w:name w:val="Body Text Indent"/>
    <w:basedOn w:val="a0"/>
    <w:link w:val="af1"/>
    <w:semiHidden/>
    <w:rsid w:val="0073613F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с отступом Знак"/>
    <w:basedOn w:val="a1"/>
    <w:link w:val="af0"/>
    <w:semiHidden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1">
    <w:name w:val="Знак Знак9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paragraph" w:styleId="23">
    <w:name w:val="Body Text Indent 2"/>
    <w:basedOn w:val="a0"/>
    <w:link w:val="24"/>
    <w:semiHidden/>
    <w:rsid w:val="0073613F"/>
    <w:pPr>
      <w:spacing w:after="0" w:line="36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1">
    <w:name w:val="Знак Знак8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Indent 3"/>
    <w:basedOn w:val="a0"/>
    <w:link w:val="32"/>
    <w:semiHidden/>
    <w:rsid w:val="0073613F"/>
    <w:pPr>
      <w:tabs>
        <w:tab w:val="left" w:pos="709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semiHidden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1">
    <w:name w:val="Знак Знак7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character" w:customStyle="1" w:styleId="61">
    <w:name w:val="Знак Знак6"/>
    <w:basedOn w:val="a1"/>
    <w:rsid w:val="0073613F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page number"/>
    <w:basedOn w:val="a1"/>
    <w:semiHidden/>
    <w:rsid w:val="0073613F"/>
  </w:style>
  <w:style w:type="character" w:customStyle="1" w:styleId="51">
    <w:name w:val="Знак Знак5"/>
    <w:basedOn w:val="a1"/>
    <w:rsid w:val="0073613F"/>
    <w:rPr>
      <w:rFonts w:ascii="Times New Roman" w:eastAsia="Times New Roman" w:hAnsi="Times New Roman" w:cs="Times New Roman"/>
      <w:sz w:val="20"/>
      <w:szCs w:val="20"/>
    </w:rPr>
  </w:style>
  <w:style w:type="character" w:customStyle="1" w:styleId="41">
    <w:name w:val="Знак Знак4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paragraph" w:styleId="af3">
    <w:name w:val="Subtitle"/>
    <w:basedOn w:val="a0"/>
    <w:link w:val="af4"/>
    <w:qFormat/>
    <w:rsid w:val="0073613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Подзаголовок Знак"/>
    <w:basedOn w:val="a1"/>
    <w:link w:val="af3"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Знак Знак3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character" w:customStyle="1" w:styleId="25">
    <w:name w:val="Знак Знак2"/>
    <w:basedOn w:val="a1"/>
    <w:rsid w:val="0073613F"/>
    <w:rPr>
      <w:rFonts w:ascii="Times New Roman" w:eastAsia="Times New Roman" w:hAnsi="Times New Roman" w:cs="Times New Roman"/>
      <w:sz w:val="20"/>
      <w:szCs w:val="20"/>
    </w:rPr>
  </w:style>
  <w:style w:type="paragraph" w:customStyle="1" w:styleId="19">
    <w:name w:val="Обычный1"/>
    <w:rsid w:val="0073613F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1a">
    <w:name w:val="Знак Знак1"/>
    <w:basedOn w:val="a1"/>
    <w:rsid w:val="0073613F"/>
    <w:rPr>
      <w:rFonts w:ascii="Times New Roman" w:eastAsia="Times New Roman" w:hAnsi="Times New Roman" w:cs="Times New Roman"/>
      <w:sz w:val="20"/>
      <w:szCs w:val="20"/>
    </w:rPr>
  </w:style>
  <w:style w:type="paragraph" w:styleId="34">
    <w:name w:val="Body Text 3"/>
    <w:basedOn w:val="a0"/>
    <w:link w:val="35"/>
    <w:semiHidden/>
    <w:rsid w:val="0073613F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5">
    <w:name w:val="Основной текст 3 Знак"/>
    <w:basedOn w:val="a1"/>
    <w:link w:val="34"/>
    <w:semiHidden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5">
    <w:name w:val="Знак Знак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paragraph" w:styleId="af6">
    <w:name w:val="caption"/>
    <w:basedOn w:val="a0"/>
    <w:next w:val="a0"/>
    <w:qFormat/>
    <w:rsid w:val="0073613F"/>
    <w:pPr>
      <w:spacing w:after="0" w:line="360" w:lineRule="auto"/>
      <w:ind w:firstLine="708"/>
      <w:jc w:val="righ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2">
    <w:name w:val="FR2"/>
    <w:rsid w:val="0073613F"/>
    <w:pPr>
      <w:spacing w:before="100" w:after="0" w:line="300" w:lineRule="auto"/>
      <w:ind w:left="2080" w:right="2200"/>
      <w:jc w:val="center"/>
    </w:pPr>
    <w:rPr>
      <w:rFonts w:ascii="Arial" w:eastAsia="Times New Roman" w:hAnsi="Arial" w:cs="Times New Roman"/>
      <w:i/>
      <w:sz w:val="16"/>
      <w:szCs w:val="20"/>
      <w:lang w:eastAsia="ru-RU"/>
    </w:rPr>
  </w:style>
  <w:style w:type="paragraph" w:customStyle="1" w:styleId="FR1">
    <w:name w:val="FR1"/>
    <w:rsid w:val="0073613F"/>
    <w:pPr>
      <w:spacing w:before="160" w:after="0" w:line="240" w:lineRule="auto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7">
    <w:name w:val="Block Text"/>
    <w:basedOn w:val="a0"/>
    <w:semiHidden/>
    <w:rsid w:val="0073613F"/>
    <w:pPr>
      <w:spacing w:after="0" w:line="240" w:lineRule="auto"/>
      <w:ind w:left="-57" w:right="-57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b">
    <w:name w:val="заголовок 1"/>
    <w:basedOn w:val="a0"/>
    <w:next w:val="a0"/>
    <w:rsid w:val="0073613F"/>
    <w:pPr>
      <w:keepNext/>
      <w:widowControl w:val="0"/>
      <w:autoSpaceDE w:val="0"/>
      <w:autoSpaceDN w:val="0"/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6">
    <w:name w:val="заголовок 2"/>
    <w:basedOn w:val="a0"/>
    <w:next w:val="a0"/>
    <w:rsid w:val="0073613F"/>
    <w:pPr>
      <w:keepNext/>
      <w:widowControl w:val="0"/>
      <w:autoSpaceDE w:val="0"/>
      <w:autoSpaceDN w:val="0"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6">
    <w:name w:val="заголовок 3"/>
    <w:basedOn w:val="a0"/>
    <w:next w:val="a0"/>
    <w:rsid w:val="0073613F"/>
    <w:pPr>
      <w:keepNext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8">
    <w:name w:val="Основной шрифт"/>
    <w:rsid w:val="0073613F"/>
  </w:style>
  <w:style w:type="paragraph" w:customStyle="1" w:styleId="BodyText21">
    <w:name w:val="Body Text 21"/>
    <w:basedOn w:val="a0"/>
    <w:rsid w:val="007361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af9">
    <w:name w:val="номер страницы"/>
    <w:basedOn w:val="af8"/>
    <w:rsid w:val="0073613F"/>
  </w:style>
  <w:style w:type="character" w:styleId="afa">
    <w:name w:val="Placeholder Text"/>
    <w:basedOn w:val="a1"/>
    <w:uiPriority w:val="99"/>
    <w:semiHidden/>
    <w:rsid w:val="0073613F"/>
    <w:rPr>
      <w:color w:val="808080"/>
    </w:rPr>
  </w:style>
  <w:style w:type="table" w:customStyle="1" w:styleId="112">
    <w:name w:val="Сетка таблицы11"/>
    <w:basedOn w:val="a2"/>
    <w:next w:val="a9"/>
    <w:uiPriority w:val="59"/>
    <w:rsid w:val="0073613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3"/>
    <w:uiPriority w:val="99"/>
    <w:semiHidden/>
    <w:unhideWhenUsed/>
    <w:rsid w:val="00CB31D1"/>
  </w:style>
  <w:style w:type="numbering" w:customStyle="1" w:styleId="113">
    <w:name w:val="Стиль11"/>
    <w:rsid w:val="00CB31D1"/>
  </w:style>
  <w:style w:type="numbering" w:customStyle="1" w:styleId="121">
    <w:name w:val="Нет списка12"/>
    <w:next w:val="a3"/>
    <w:uiPriority w:val="99"/>
    <w:semiHidden/>
    <w:unhideWhenUsed/>
    <w:rsid w:val="00CB31D1"/>
  </w:style>
  <w:style w:type="table" w:customStyle="1" w:styleId="28">
    <w:name w:val="Сетка таблицы2"/>
    <w:basedOn w:val="a2"/>
    <w:next w:val="a9"/>
    <w:uiPriority w:val="59"/>
    <w:rsid w:val="00CB31D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next w:val="a9"/>
    <w:uiPriority w:val="59"/>
    <w:rsid w:val="00CB31D1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2"/>
    <w:next w:val="a9"/>
    <w:uiPriority w:val="59"/>
    <w:rsid w:val="00CB31D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7246</Words>
  <Characters>41308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48458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2015-06-18T11:32:00Z</dcterms:created>
  <dcterms:modified xsi:type="dcterms:W3CDTF">2015-08-17T09:33:00Z</dcterms:modified>
</cp:coreProperties>
</file>