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571"/>
      </w:tblGrid>
      <w:tr w:rsidR="00B52C93" w:rsidRPr="00B52C93" w:rsidTr="00B52C93">
        <w:trPr>
          <w:trHeight w:val="2494"/>
        </w:trPr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МИНИСТЕРСТВО СЕЛЬСКОГО ХОЗЯЙСТВА РОССИЙСКОЙ ФЕДЕРАЦИИ</w:t>
            </w:r>
          </w:p>
          <w:p w:rsidR="00B52C93" w:rsidRPr="00B52C93" w:rsidRDefault="00B52C93" w:rsidP="00B52C93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:rsidR="00B52C93" w:rsidRPr="00B52C93" w:rsidRDefault="00B52C93" w:rsidP="00B52C9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8"/>
                <w:sz w:val="28"/>
                <w:szCs w:val="28"/>
              </w:rPr>
              <w:t>высшего профессионального образования</w:t>
            </w: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pacing w:val="10"/>
                <w:sz w:val="28"/>
                <w:szCs w:val="28"/>
              </w:rPr>
              <w:t>«КУБАНСКИЙ ГОСУДАРСТВЕННЫЙ АГРАРНЫЙ УНИВЕРСИТЕТ»</w:t>
            </w: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</w:pP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t>МЕТОДИЧЕСКИЕ</w:t>
            </w: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br/>
              <w:t>УКАЗАНИЯ</w:t>
            </w: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60"/>
                <w:sz w:val="60"/>
                <w:szCs w:val="60"/>
              </w:rPr>
            </w:pPr>
            <w:r w:rsidRPr="00B52C93">
              <w:rPr>
                <w:rFonts w:ascii="Times New Roman" w:eastAsia="Calibri" w:hAnsi="Times New Roman" w:cs="Times New Roman"/>
                <w:b/>
                <w:spacing w:val="60"/>
                <w:w w:val="80"/>
                <w:sz w:val="36"/>
                <w:szCs w:val="36"/>
              </w:rPr>
              <w:t>ПО ПРОВЕДЕНИЮ ПРАКТИЧЕСКИХ ЗАНЯТИЙ</w:t>
            </w: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sz w:val="28"/>
                <w:szCs w:val="28"/>
              </w:rPr>
              <w:t>по дисциплине (модулю)</w:t>
            </w: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CB31D1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Б1.В.ДВ.2</w:t>
            </w:r>
            <w:r w:rsidR="00B5525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</w:t>
            </w:r>
            <w:r w:rsidRPr="00CB31D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«Экологическое почвоведение»</w:t>
            </w:r>
          </w:p>
        </w:tc>
      </w:tr>
      <w:tr w:rsidR="00B52C93" w:rsidRPr="00B52C93" w:rsidTr="00B52C93">
        <w:tc>
          <w:tcPr>
            <w:tcW w:w="5000" w:type="pct"/>
          </w:tcPr>
          <w:tbl>
            <w:tblPr>
              <w:tblW w:w="0" w:type="auto"/>
              <w:jc w:val="center"/>
              <w:tblBorders>
                <w:insideH w:val="single" w:sz="4" w:space="0" w:color="auto"/>
              </w:tblBorders>
              <w:tblLook w:val="04A0"/>
            </w:tblPr>
            <w:tblGrid>
              <w:gridCol w:w="8029"/>
            </w:tblGrid>
            <w:tr w:rsidR="00B52C93" w:rsidRPr="00B52C93" w:rsidTr="0073613F">
              <w:trPr>
                <w:jc w:val="center"/>
              </w:trPr>
              <w:tc>
                <w:tcPr>
                  <w:tcW w:w="8029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8029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sz w:val="20"/>
                      <w:szCs w:val="20"/>
                    </w:rPr>
                  </w:pPr>
                </w:p>
              </w:tc>
            </w:tr>
          </w:tbl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c>
          <w:tcPr>
            <w:tcW w:w="5000" w:type="pct"/>
          </w:tcPr>
          <w:tbl>
            <w:tblPr>
              <w:tblW w:w="0" w:type="auto"/>
              <w:jc w:val="center"/>
              <w:tblLook w:val="04A0"/>
            </w:tblPr>
            <w:tblGrid>
              <w:gridCol w:w="4940"/>
              <w:gridCol w:w="283"/>
              <w:gridCol w:w="3236"/>
            </w:tblGrid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Код и направление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подготовки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06.06.01 – Биологические науки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Наименование профиля / </w:t>
                  </w:r>
                  <w:r w:rsidRPr="00B52C93">
                    <w:rPr>
                      <w:rFonts w:ascii="Times New Roman" w:eastAsia="Calibri" w:hAnsi="Times New Roman" w:cs="Courier New"/>
                      <w:bCs/>
                      <w:color w:val="000000"/>
                      <w:sz w:val="28"/>
                      <w:szCs w:val="28"/>
                    </w:rPr>
                    <w:t>программы подготовки научно-педагогических кадров в аспирантуре/</w:t>
                  </w: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магистерской программы / специализация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Почвоведение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Квалификация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(степень) выпускника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Исследователь. Преподаватель-исследователь</w:t>
                  </w:r>
                </w:p>
              </w:tc>
            </w:tr>
            <w:tr w:rsidR="00B52C93" w:rsidRPr="00B52C93" w:rsidTr="0073613F">
              <w:trPr>
                <w:trHeight w:val="465"/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Факультет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Агрохимии и                    почвоведения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Кафедра – разработчик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  <w:vAlign w:val="center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Почвоведения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/>
                      <w:bCs/>
                      <w:i/>
                      <w:sz w:val="28"/>
                      <w:szCs w:val="28"/>
                    </w:rPr>
                  </w:pP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Ведущий преподаватель </w:t>
                  </w: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bottom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 xml:space="preserve">Слюсарев </w:t>
                  </w:r>
                </w:p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</w:pPr>
                  <w:r w:rsidRPr="00B52C93">
                    <w:rPr>
                      <w:rFonts w:ascii="Times New Roman" w:eastAsia="Calibri" w:hAnsi="Times New Roman" w:cs="Courier New"/>
                      <w:bCs/>
                      <w:sz w:val="28"/>
                      <w:szCs w:val="28"/>
                    </w:rPr>
                    <w:t>Валерий Никифорович</w:t>
                  </w:r>
                </w:p>
              </w:tc>
            </w:tr>
            <w:tr w:rsidR="00B52C93" w:rsidRPr="00B52C93" w:rsidTr="0073613F">
              <w:trPr>
                <w:jc w:val="center"/>
              </w:trPr>
              <w:tc>
                <w:tcPr>
                  <w:tcW w:w="4940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83" w:type="dxa"/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236" w:type="dxa"/>
                  <w:tcBorders>
                    <w:top w:val="single" w:sz="4" w:space="0" w:color="auto"/>
                  </w:tcBorders>
                </w:tcPr>
                <w:p w:rsidR="00B52C93" w:rsidRPr="00B52C93" w:rsidRDefault="00B52C93" w:rsidP="00B52C93">
                  <w:pPr>
                    <w:framePr w:hSpace="180" w:wrap="around" w:vAnchor="text" w:hAnchor="margin" w:y="5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Calibri" w:hAnsi="Times New Roman" w:cs="Courier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B52C93" w:rsidRPr="00B52C93" w:rsidRDefault="00B52C93" w:rsidP="00B52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52C93" w:rsidRPr="00B52C93" w:rsidTr="00B52C93">
        <w:trPr>
          <w:trHeight w:val="66"/>
        </w:trPr>
        <w:tc>
          <w:tcPr>
            <w:tcW w:w="5000" w:type="pct"/>
          </w:tcPr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B52C93" w:rsidRPr="00B52C93" w:rsidRDefault="00B52C93" w:rsidP="00B52C93">
            <w:pPr>
              <w:spacing w:after="24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52C9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Краснодар 2015</w:t>
            </w:r>
          </w:p>
        </w:tc>
      </w:tr>
    </w:tbl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72E6E" w:rsidRDefault="00972E6E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Составители: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Слюсарев, В.И. Терпелец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Швец Т.В.</w:t>
      </w:r>
    </w:p>
    <w:p w:rsidR="00B52C93" w:rsidRPr="00B52C93" w:rsidRDefault="00B52C93" w:rsidP="00B52C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Методические указания по проведению  практических за</w:t>
      </w:r>
      <w:r w:rsidR="00CB31D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нятий по дисциплине «Экологическ</w:t>
      </w:r>
      <w:r w:rsidRPr="00B52C93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ое почвоведение»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аспирантов по направлению 06.06.01 «Биологические науки», профиль «Почвоведение» / сост.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В.Н. Слюсарев, В.И. Терпелец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Т.В. Швец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E4067">
        <w:rPr>
          <w:rFonts w:ascii="Times New Roman" w:eastAsia="Times New Roman" w:hAnsi="Times New Roman" w:cs="Times New Roman"/>
          <w:sz w:val="28"/>
          <w:szCs w:val="20"/>
          <w:lang w:eastAsia="ru-RU"/>
        </w:rPr>
        <w:t>–  Краснодар: КубГАУ, 2014. – 28</w:t>
      </w:r>
      <w:r w:rsidRPr="00B52C9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с.</w:t>
      </w:r>
    </w:p>
    <w:p w:rsidR="00B52C93" w:rsidRPr="00B52C93" w:rsidRDefault="00B52C93" w:rsidP="00B52C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Default="00B52C93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Изложены методические указания по проведению прак</w:t>
      </w:r>
      <w:r w:rsidR="000C7A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основной дисциплине, направленной на подготовку к сдаче кандидатского экзамена по профилю «Почвоведение».</w:t>
      </w:r>
      <w:r w:rsidR="00CC6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6A69" w:rsidRPr="00CC6A69" w:rsidRDefault="00CC6A69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69"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Методические указания по проведению  практических заня</w:t>
      </w:r>
      <w:r w:rsidR="00CB31D1">
        <w:rPr>
          <w:rFonts w:ascii="Times New Roman" w:eastAsia="Times New Roman" w:hAnsi="Times New Roman" w:cs="Times New Roman"/>
          <w:sz w:val="28"/>
          <w:szCs w:val="20"/>
          <w:lang w:eastAsia="ru-RU"/>
        </w:rPr>
        <w:t>тий по дисциплине «Экологическое</w:t>
      </w:r>
      <w:r w:rsidRPr="00CC6A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почвоведение»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предусматривают обязательное использование методических указаний для самостоятельной работы по данной дисциплине.</w:t>
      </w:r>
    </w:p>
    <w:p w:rsidR="00B52C93" w:rsidRPr="00B52C93" w:rsidRDefault="00B52C93" w:rsidP="00B52C93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 предназначены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подготовки аспирантов по направлению 06.06.01 «Биологические науки», профиль «Почвоведение». </w:t>
      </w: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и одобрено методической комиссией факультетов агрохимии и почвоведения, защиты растений Кубанского госагроуниверситета, протокол № 3  от 24.11.2014 г.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комиссии                                                                 В.И. Терпелец</w:t>
      </w:r>
    </w:p>
    <w:p w:rsidR="00B52C93" w:rsidRPr="00B52C93" w:rsidRDefault="00B52C93" w:rsidP="00B52C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E6E" w:rsidRPr="00B52C93" w:rsidRDefault="00972E6E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© Слюсарев В.Н., Терпелец В.И.,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Швец Т.Н. составление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:rsidR="00B52C93" w:rsidRPr="00B52C93" w:rsidRDefault="00B52C93" w:rsidP="00B52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© ФГБОУ ВПО «Кубанский государственный</w:t>
      </w: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52C9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аграрный университет», 2014</w:t>
      </w: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Pr="00B52C93" w:rsidRDefault="00B52C93" w:rsidP="00B52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C93" w:rsidRDefault="00B52C93"/>
    <w:p w:rsidR="00CC6A69" w:rsidRDefault="00CC6A69" w:rsidP="00CB31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2C93" w:rsidRDefault="00B52C93" w:rsidP="00107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C9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A3540" w:rsidRDefault="004A3540" w:rsidP="001073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1D1" w:rsidRPr="00CB31D1" w:rsidRDefault="0073613F" w:rsidP="001073C8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1. </w:t>
      </w:r>
      <w:r w:rsidR="00CB31D1"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СЕТИ НАБЛЮДЕНИЙ ЗА СОДЕРЖАНИЕМ ТЯЖЕЛЫХ МЕТАЛЛОВ В ПОЧВАХ В ЗОНЕ ДЕЙСТВИЯ </w:t>
      </w:r>
    </w:p>
    <w:p w:rsidR="0073613F" w:rsidRPr="00CB31D1" w:rsidRDefault="00CB31D1" w:rsidP="001073C8">
      <w:pPr>
        <w:shd w:val="clear" w:color="auto" w:fill="FFFFFF"/>
        <w:spacing w:after="0" w:line="48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ТЕХНОГЕННОГО ИСТОЧНИКА ЗАГРЯЗНЕНИЯ</w:t>
      </w:r>
      <w:r w:rsidR="0073613F">
        <w:rPr>
          <w:rFonts w:ascii="Times New Roman" w:eastAsiaTheme="minorEastAsia" w:hAnsi="Times New Roman"/>
          <w:sz w:val="28"/>
          <w:szCs w:val="28"/>
          <w:lang w:eastAsia="ru-RU"/>
        </w:rPr>
        <w:t>.............</w:t>
      </w:r>
      <w:r w:rsidR="008436F1">
        <w:rPr>
          <w:rFonts w:ascii="Times New Roman" w:eastAsiaTheme="minorEastAsia" w:hAnsi="Times New Roman"/>
          <w:sz w:val="28"/>
          <w:szCs w:val="28"/>
          <w:lang w:eastAsia="ru-RU"/>
        </w:rPr>
        <w:t>...</w:t>
      </w:r>
      <w:r w:rsidR="00A23304">
        <w:rPr>
          <w:rFonts w:ascii="Times New Roman" w:eastAsiaTheme="minorEastAsia" w:hAnsi="Times New Roman"/>
          <w:sz w:val="28"/>
          <w:szCs w:val="28"/>
          <w:lang w:eastAsia="ru-RU"/>
        </w:rPr>
        <w:t>.........................</w:t>
      </w:r>
      <w:r w:rsidR="004A3540">
        <w:rPr>
          <w:rFonts w:ascii="Times New Roman" w:eastAsiaTheme="minorEastAsia" w:hAnsi="Times New Roman"/>
          <w:sz w:val="28"/>
          <w:szCs w:val="28"/>
          <w:lang w:eastAsia="ru-RU"/>
        </w:rPr>
        <w:t>4</w:t>
      </w:r>
    </w:p>
    <w:p w:rsidR="0073613F" w:rsidRPr="00A23304" w:rsidRDefault="00A23304" w:rsidP="001073C8">
      <w:pPr>
        <w:tabs>
          <w:tab w:val="left" w:pos="37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="0073613F"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2.</w:t>
      </w:r>
      <w:r w:rsidRPr="00A23304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ОЦЕНКА ЗАГРЯЗНЕНИЙ ПОЧВ ТЯЖЕЛЫМИ МЕТАЛЛАМИ ПРИ ВНЕСЕНИИ МИНЕРАЛЬНЫХ УДОБРЕНИЙ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.............................................</w:t>
      </w:r>
      <w:r w:rsidR="008436F1">
        <w:rPr>
          <w:rFonts w:ascii="Times New Roman" w:eastAsiaTheme="minorEastAsia" w:hAnsi="Times New Roman"/>
          <w:sz w:val="28"/>
          <w:szCs w:val="28"/>
          <w:lang w:eastAsia="ru-RU"/>
        </w:rPr>
        <w:t>....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6</w:t>
      </w:r>
    </w:p>
    <w:p w:rsidR="0073613F" w:rsidRDefault="00A23304" w:rsidP="001073C8">
      <w:pPr>
        <w:spacing w:after="0" w:line="480" w:lineRule="auto"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</w:t>
      </w:r>
      <w:r w:rsidR="0073613F">
        <w:rPr>
          <w:rFonts w:ascii="Times New Roman" w:eastAsiaTheme="minorEastAsia" w:hAnsi="Times New Roman"/>
          <w:sz w:val="28"/>
          <w:szCs w:val="28"/>
          <w:lang w:eastAsia="ru-RU"/>
        </w:rPr>
        <w:t>3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A23304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ПРОГНОЗ ЭРОДИРУЕМОСТИ ПОЧВ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 w:rsidR="0073613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...................</w:t>
      </w:r>
      <w:r w:rsidR="004A3540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8436F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</w:t>
      </w: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.........................8</w:t>
      </w:r>
    </w:p>
    <w:p w:rsidR="00A23304" w:rsidRPr="00CB31D1" w:rsidRDefault="00A23304" w:rsidP="001073C8">
      <w:pPr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73613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ОПРЕДЕЛЕНИЕ СТЕПЕНИ СОЛОНЦЕВАТОСТИ ПОЧВ </w:t>
      </w:r>
    </w:p>
    <w:p w:rsidR="00A23304" w:rsidRDefault="00A23304" w:rsidP="001073C8">
      <w:pPr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 РАСЧЕТ ДОЗ ГИПСА</w:t>
      </w:r>
      <w:r w:rsidR="004A3540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.........................................................................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12</w:t>
      </w:r>
      <w:r w:rsid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</w:p>
    <w:p w:rsidR="001073C8" w:rsidRDefault="00A23304" w:rsidP="001073C8">
      <w:pPr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 </w:t>
      </w:r>
      <w:r w:rsid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5.</w:t>
      </w:r>
      <w:r w:rsidRPr="00A2330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ОПРЕДЕЛЕНИЕ ПОТРЕБНОСТИ ПОЧВ В ИЗВЕСТКОВАНИИ И ВЫЧИСЛЕНИЕ ДОЗ ИЗВЕСТИ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........................................................................</w:t>
      </w:r>
      <w:r w:rsidR="004A3540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4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</w:t>
      </w:r>
    </w:p>
    <w:p w:rsidR="0073613F" w:rsidRPr="00AC1F77" w:rsidRDefault="00A23304" w:rsidP="001073C8">
      <w:pPr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6.</w:t>
      </w:r>
      <w:r w:rsidR="001073C8" w:rsidRPr="00107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73C8" w:rsidRPr="00C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АГРОЭКОЛОГИЧЕСКАЯ ОЦЕНКА ПОЧВ ВБЛИЗИ ТРАНСПОРТНЫХ МАГИСТРАЛЕЙ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</w:t>
      </w:r>
      <w:r w:rsidR="008436F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</w:t>
      </w:r>
      <w:r w:rsidR="001073C8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5</w:t>
      </w:r>
    </w:p>
    <w:p w:rsidR="0073613F" w:rsidRPr="001073C8" w:rsidRDefault="001073C8" w:rsidP="001073C8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  </w:t>
      </w:r>
      <w:r w:rsidR="0073613F" w:rsidRPr="0073613F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7. 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КОНТРОЛЬ НАД ОПОЛЗНЯМИ И ИХ ПРОГНОЗ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16</w:t>
      </w:r>
    </w:p>
    <w:p w:rsidR="004A3540" w:rsidRPr="001073C8" w:rsidRDefault="001073C8" w:rsidP="001073C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</w:t>
      </w:r>
      <w:r w:rsidR="004A3540">
        <w:rPr>
          <w:rFonts w:ascii="Times New Roman" w:eastAsia="Times New Roman" w:hAnsi="Times New Roman"/>
          <w:color w:val="000000"/>
          <w:sz w:val="28"/>
          <w:lang w:eastAsia="ru-RU"/>
        </w:rPr>
        <w:t>8</w:t>
      </w:r>
      <w:r w:rsidR="004A3540" w:rsidRP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1073C8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ОЦЕНКА АНТРОПОГЕННОЙ НАГРУЗКИ</w:t>
      </w:r>
      <w:r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 xml:space="preserve"> </w:t>
      </w: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НА ЗЕМЕЛЬНЫЕ РЕСУРСЫ</w:t>
      </w:r>
      <w:r>
        <w:rPr>
          <w:rFonts w:ascii="Times New Roman" w:eastAsia="Times New Roman" w:hAnsi="Times New Roman" w:cs="Times New Roman"/>
          <w:sz w:val="28"/>
          <w:lang w:eastAsia="ru-RU"/>
        </w:rPr>
        <w:t>..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.......................................................................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</w:t>
      </w:r>
    </w:p>
    <w:p w:rsidR="004A3540" w:rsidRPr="001073C8" w:rsidRDefault="004A3540" w:rsidP="001073C8">
      <w:pPr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1073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9.</w:t>
      </w:r>
      <w:r w:rsidR="001073C8" w:rsidRP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ПОЧВЕННО-</w:t>
      </w:r>
      <w:r w:rsid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АГРОЭКОЛОГИЧЕСКОЕ РАЙОНИРОВАНИЕ </w:t>
      </w:r>
      <w:r w:rsidR="001073C8" w:rsidRPr="001073C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СЕЛЬСКОХОЗЯЙСТВЕННЫХ ЗЕМЕЛЬ</w:t>
      </w:r>
      <w:r w:rsidRPr="001073C8"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...............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.....</w:t>
      </w:r>
      <w:r w:rsidR="00AC1F77" w:rsidRP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 </w:t>
      </w:r>
      <w:r w:rsidR="00AC1F77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...</w:t>
      </w:r>
      <w:r w:rsidR="001073C8">
        <w:rPr>
          <w:rFonts w:ascii="Times New Roman" w:eastAsiaTheme="minorEastAsia" w:hAnsi="Times New Roman"/>
          <w:sz w:val="28"/>
          <w:szCs w:val="28"/>
          <w:lang w:eastAsia="ru-RU"/>
        </w:rPr>
        <w:t>22</w:t>
      </w:r>
    </w:p>
    <w:p w:rsidR="00CB31D1" w:rsidRPr="00CB31D1" w:rsidRDefault="00CB31D1" w:rsidP="001073C8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1D1" w:rsidRDefault="00CB31D1" w:rsidP="001073C8">
      <w:pPr>
        <w:shd w:val="clear" w:color="auto" w:fill="FFFFFF"/>
        <w:spacing w:after="0" w:line="480" w:lineRule="auto"/>
        <w:ind w:right="45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Default="00CB31D1" w:rsidP="00CB31D1">
      <w:pPr>
        <w:shd w:val="clear" w:color="auto" w:fill="FFFFFF"/>
        <w:spacing w:after="0" w:line="240" w:lineRule="auto"/>
        <w:ind w:right="45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1073C8">
      <w:pPr>
        <w:shd w:val="clear" w:color="auto" w:fill="FFFFFF"/>
        <w:spacing w:after="0" w:line="240" w:lineRule="auto"/>
        <w:ind w:right="4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lastRenderedPageBreak/>
        <w:t xml:space="preserve">РАБОТА 1. </w:t>
      </w: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ОРГАНИЗАЦИЯ СЕТИ НАБЛЮДЕНИЙ ЗА СОДЕРЖАНИЕМ ТЯЖЕЛЫХ МЕТАЛЛОВ В ПОЧВАХ В ЗОНЕ ДЕЙСТВИЯ </w:t>
      </w:r>
    </w:p>
    <w:p w:rsidR="00CB31D1" w:rsidRPr="00CB31D1" w:rsidRDefault="00CB31D1" w:rsidP="00AC1F77">
      <w:pPr>
        <w:shd w:val="clear" w:color="auto" w:fill="FFFFFF"/>
        <w:spacing w:after="480" w:line="240" w:lineRule="auto"/>
        <w:ind w:right="4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ТЕХНОГЕННОГО ИСТОЧНИКА ЗАГРЯЗНЕНИЯ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Главный источник загрязнения почв тяжелыми металлами – сгорание добытого топлива на (ТЭС, ГРЭС, ТЭЦ). Исследованиями Госкомгидромета установлено, что зона максимального загрязнения почв распространяется на расстояние, равное 20-кратной высоте трубы при низком промышленном выбросе. Содержание ТМ в почвах, которое превышают фоновые уровни на 1 – 3 порядка величин, наблюдается в промышленной  и прилегающей к ней зонах радиусом 1 – </w:t>
      </w:r>
      <w:smartTag w:uri="urn:schemas-microsoft-com:office:smarttags" w:element="metricconverter">
        <w:smartTagPr>
          <w:attr w:name="ProductID" w:val="3 км"/>
        </w:smartTagPr>
        <w:r w:rsidRPr="00CB31D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3 км</w:t>
        </w:r>
      </w:smartTag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источника выброса. 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При организации наблюдений в зоне загрязнения тяжелыми металлами обязательно ориентируются на розу ветров.</w:t>
      </w:r>
    </w:p>
    <w:p w:rsidR="00CB31D1" w:rsidRPr="00CE4067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Роза ветров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это диаграмма показывающая повторяемость ветров различных направлений. Длины лучей в направлении основных и дополнительных (8, 16 или 32) румбов горизонта пропорциональны повторяемости ветров данного направления. Для построения розы ветров румбы необходимо перевести в %, пользуясь таблицей. Цифры у стрелок розы витков обозначают повторяемость ветра данного направления в % от общего числа наблюдений без штилей. Цифрой в центре обозначают среднее число штилей за период наблюдений. Следует помнить, что румбы отражают направления, откуда дует ветер.</w:t>
      </w:r>
    </w:p>
    <w:p w:rsidR="00AC1F77" w:rsidRPr="00CE4067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C1F77" w:rsidRDefault="00CB31D1" w:rsidP="00AC1F7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–  Перевод румбов в градусы</w:t>
      </w:r>
    </w:p>
    <w:p w:rsidR="00AC1F77" w:rsidRPr="00AC1F77" w:rsidRDefault="00AC1F77" w:rsidP="00AC1F77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tbl>
      <w:tblPr>
        <w:tblStyle w:val="a9"/>
        <w:tblW w:w="0" w:type="auto"/>
        <w:tblLook w:val="01E0"/>
      </w:tblPr>
      <w:tblGrid>
        <w:gridCol w:w="2303"/>
        <w:gridCol w:w="2319"/>
        <w:gridCol w:w="2304"/>
        <w:gridCol w:w="2319"/>
      </w:tblGrid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Румбы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Градусы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Румбы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Градусы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ВСВ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ЗЮЗ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ЗСЗ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</w:tr>
      <w:tr w:rsidR="00CB31D1" w:rsidRPr="00CB31D1" w:rsidTr="00CB31D1">
        <w:tc>
          <w:tcPr>
            <w:tcW w:w="2303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ЮЮВ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304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ССЗ</w:t>
            </w:r>
          </w:p>
        </w:tc>
        <w:tc>
          <w:tcPr>
            <w:tcW w:w="2319" w:type="dxa"/>
            <w:vAlign w:val="center"/>
          </w:tcPr>
          <w:p w:rsidR="00CB31D1" w:rsidRPr="00CB31D1" w:rsidRDefault="00CB31D1" w:rsidP="00AC1F77">
            <w:pPr>
              <w:tabs>
                <w:tab w:val="left" w:pos="37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338</w:t>
            </w:r>
          </w:p>
        </w:tc>
      </w:tr>
    </w:tbl>
    <w:p w:rsidR="00AC1F77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проведении почвенно-экологического мониторинга отбор образцов почв в пределах 1000 м от источника загрязнения проводится по основным векторам (румбам) на расстоянии 50, 100, 200, 400 и </w:t>
      </w:r>
      <w:smartTag w:uri="urn:schemas-microsoft-com:office:smarttags" w:element="metricconverter">
        <w:smartTagPr>
          <w:attr w:name="ProductID" w:val="800 м"/>
        </w:smartTagPr>
        <w:r w:rsidRPr="00CB31D1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800 м</w:t>
        </w:r>
      </w:smartTag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а при необходимости – с шагом один км. </w:t>
      </w:r>
    </w:p>
    <w:p w:rsidR="00CB31D1" w:rsidRPr="00D81F3C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Химический состав пылевых выбросов ТЭЦ работающих на угле, представлен в таблице. </w:t>
      </w:r>
    </w:p>
    <w:p w:rsidR="00AC1F77" w:rsidRPr="00D81F3C" w:rsidRDefault="00AC1F77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-3969"/>
        </w:tabs>
        <w:spacing w:before="120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Таблица – Содержание тяжёлых металлов в выбросах ТЭЦ</w:t>
      </w:r>
    </w:p>
    <w:tbl>
      <w:tblPr>
        <w:tblStyle w:val="a9"/>
        <w:tblW w:w="0" w:type="auto"/>
        <w:tblInd w:w="108" w:type="dxa"/>
        <w:tblLook w:val="01E0"/>
      </w:tblPr>
      <w:tblGrid>
        <w:gridCol w:w="2284"/>
        <w:gridCol w:w="2393"/>
        <w:gridCol w:w="2393"/>
        <w:gridCol w:w="2286"/>
      </w:tblGrid>
      <w:tr w:rsidR="00CB31D1" w:rsidRPr="00CB31D1" w:rsidTr="00CB31D1">
        <w:tc>
          <w:tcPr>
            <w:tcW w:w="2284" w:type="dxa"/>
            <w:vMerge w:val="restart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Металл</w:t>
            </w:r>
          </w:p>
        </w:tc>
        <w:tc>
          <w:tcPr>
            <w:tcW w:w="4786" w:type="dxa"/>
            <w:gridSpan w:val="2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тяжёлых металлов</w:t>
            </w:r>
          </w:p>
        </w:tc>
        <w:tc>
          <w:tcPr>
            <w:tcW w:w="2286" w:type="dxa"/>
            <w:vMerge w:val="restart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ПДК в почве,</w:t>
            </w:r>
          </w:p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мг/кг</w:t>
            </w:r>
          </w:p>
        </w:tc>
      </w:tr>
      <w:tr w:rsidR="00CB31D1" w:rsidRPr="00CB31D1" w:rsidTr="00CB31D1">
        <w:tc>
          <w:tcPr>
            <w:tcW w:w="2284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т/год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мг/кг</w:t>
            </w:r>
          </w:p>
        </w:tc>
        <w:tc>
          <w:tcPr>
            <w:tcW w:w="2286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марганец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2110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кобальт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мышьяк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олово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барий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50,8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973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свинец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50,9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железо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1340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25600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скандий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CB31D1" w:rsidRPr="00CB31D1" w:rsidTr="00CB31D1">
        <w:tc>
          <w:tcPr>
            <w:tcW w:w="228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вольфрам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2393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68,8</w:t>
            </w:r>
          </w:p>
        </w:tc>
        <w:tc>
          <w:tcPr>
            <w:tcW w:w="228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CB31D1" w:rsidRPr="00CB31D1" w:rsidRDefault="00CB31D1" w:rsidP="00CB31D1">
      <w:pPr>
        <w:tabs>
          <w:tab w:val="left" w:pos="3700"/>
        </w:tabs>
        <w:spacing w:before="240" w:after="12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Порядок выполнения работы.</w:t>
      </w:r>
    </w:p>
    <w:p w:rsidR="00CB31D1" w:rsidRPr="00CB31D1" w:rsidRDefault="00CB31D1" w:rsidP="00CB31D1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Рассчитать радиусы зоны максимального загрязнения почв и зоны превышения фоновых уровней загрязнения, используя в качестве источника выброса трубу Краснодарской ТЭЦ высотой 50 м. Построить розу ветров. </w:t>
      </w:r>
    </w:p>
    <w:p w:rsidR="00CB31D1" w:rsidRPr="00CB31D1" w:rsidRDefault="00CB31D1" w:rsidP="00CB31D1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Построить розу ветров, используя данные метеостанции Краснодар по повторяемости ветров в годовом режиме: С – 6, СВ – 21, В – 20, ЮВ – 5, Ю –7, ЮЗ – 16, З – 15, СЗ – 10, штиль – 15.</w:t>
      </w:r>
    </w:p>
    <w:p w:rsidR="00CB31D1" w:rsidRPr="00CB31D1" w:rsidRDefault="00CB31D1" w:rsidP="00CB31D1">
      <w:pPr>
        <w:numPr>
          <w:ilvl w:val="0"/>
          <w:numId w:val="8"/>
        </w:numPr>
        <w:tabs>
          <w:tab w:val="left" w:pos="-3402"/>
        </w:tabs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Составить графическую схему отбора почвенных образцов для целей почвенно-экологического мониторинга (основные направления и места опробования). </w:t>
      </w:r>
    </w:p>
    <w:p w:rsidR="00CB31D1" w:rsidRPr="00CB31D1" w:rsidRDefault="003C01C5" w:rsidP="00CB31D1">
      <w:pPr>
        <w:numPr>
          <w:ilvl w:val="0"/>
          <w:numId w:val="8"/>
        </w:numPr>
        <w:tabs>
          <w:tab w:val="left" w:pos="-3402"/>
        </w:tabs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group id="_x0000_s1055" style="position:absolute;left:0;text-align:left;margin-left:9.15pt;margin-top:20.35pt;width:452.8pt;height:262.85pt;z-index:251660288" coordorigin="1113,577" coordsize="9948,5257">
            <v:rect id="_x0000_s1056" style="position:absolute;left:7821;top:4055;width:1080;height:540">
              <v:textbox style="mso-next-textbox:#_x0000_s1056">
                <w:txbxContent>
                  <w:p w:rsidR="00A23304" w:rsidRPr="00B60D8C" w:rsidRDefault="00A23304" w:rsidP="00CB31D1">
                    <w:pPr>
                      <w:jc w:val="center"/>
                    </w:pPr>
                    <w:r>
                      <w:t>ТЭЦ</w:t>
                    </w:r>
                  </w:p>
                </w:txbxContent>
              </v:textbox>
            </v:rect>
            <v:line id="_x0000_s1057" style="position:absolute;flip:x" from="9073,2433" to="10941,3604">
              <v:stroke endarrow="block"/>
            </v:line>
            <v:line id="_x0000_s1058" style="position:absolute" from="6921,2233" to="8181,3493"/>
            <v:line id="_x0000_s1059" style="position:absolute" from="8901,4235" to="9261,4235">
              <v:stroke endarrow="block"/>
            </v:line>
            <v:line id="_x0000_s1060" style="position:absolute" from="9261,4235" to="9621,4235">
              <v:stroke endarrow="block"/>
            </v:line>
            <v:line id="_x0000_s1061" style="position:absolute" from="9621,4235" to="9981,4235">
              <v:stroke endarrow="block"/>
            </v:line>
            <v:line id="_x0000_s1062" style="position:absolute" from="9801,4235" to="10341,4235">
              <v:stroke endarrow="block"/>
            </v:line>
            <v:line id="_x0000_s1063" style="position:absolute" from="10341,4235" to="10701,4235">
              <v:stroke endarrow="block"/>
            </v:line>
            <v:line id="_x0000_s1064" style="position:absolute;flip:x" from="7461,4708" to="7821,4888">
              <v:stroke endarrow="block"/>
            </v:line>
            <v:line id="_x0000_s1065" style="position:absolute;flip:x" from="7101,5001" to="7461,5181">
              <v:stroke endarrow="block"/>
            </v:line>
            <v:line id="_x0000_s1066" style="position:absolute;flip:x" from="6741,5181" to="7101,5361">
              <v:stroke endarrow="block"/>
            </v:line>
            <v:line id="_x0000_s1067" style="position:absolute;flip:x" from="6381,5474" to="6741,5654">
              <v:stroke endarrow="block"/>
            </v:line>
            <v:line id="_x0000_s1068" style="position:absolute;flip:x" from="6021,5654" to="6381,5834">
              <v:stroke endarrow="block"/>
            </v:line>
            <v:line id="_x0000_s1069" style="position:absolute" from="6741,4330" to="7821,4330">
              <v:stroke endarrow="block"/>
            </v:line>
            <v:line id="_x0000_s1070" style="position:absolute" from="10701,4235" to="11061,4235"/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071" type="#_x0000_t187" style="position:absolute;left:2089;top:1841;width:4103;height:2833"/>
            <v:shape id="_x0000_s1072" type="#_x0000_t187" style="position:absolute;left:2718;top:577;width:2722;height:4256;rotation:2872873fd"/>
            <v:oval id="_x0000_s1073" style="position:absolute;left:3289;top:2621;width:1620;height:1276">
              <v:textbox style="mso-next-textbox:#_x0000_s1073">
                <w:txbxContent>
                  <w:p w:rsidR="00A23304" w:rsidRDefault="00A23304" w:rsidP="00CB31D1">
                    <w:pPr>
                      <w:jc w:val="center"/>
                    </w:pPr>
                    <w:r w:rsidRPr="00A65035">
                      <w:t>15</w:t>
                    </w:r>
                  </w:p>
                  <w:p w:rsidR="00A23304" w:rsidRPr="00A65035" w:rsidRDefault="00A23304" w:rsidP="00CB31D1">
                    <w:pPr>
                      <w:jc w:val="center"/>
                    </w:pPr>
                    <w:r>
                      <w:t>штиль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3699;top:1216;width:785;height:392">
              <v:textbox style="mso-next-textbox:#_x0000_s1074">
                <w:txbxContent>
                  <w:p w:rsidR="00A23304" w:rsidRDefault="00A23304" w:rsidP="00CB31D1">
                    <w:pPr>
                      <w:jc w:val="center"/>
                    </w:pPr>
                    <w:r w:rsidRPr="00BA48C2">
                      <w:rPr>
                        <w:noProof/>
                      </w:rPr>
                      <w:t xml:space="preserve">С </w:t>
                    </w:r>
                    <w:r w:rsidRPr="00F951FA">
                      <w:rPr>
                        <w:noProof/>
                      </w:rPr>
                      <w:t>– 6</w:t>
                    </w:r>
                  </w:p>
                </w:txbxContent>
              </v:textbox>
            </v:shape>
            <v:shape id="_x0000_s1075" type="#_x0000_t202" style="position:absolute;left:5593;top:1095;width:1148;height:400">
              <v:textbox style="mso-next-textbox:#_x0000_s1075">
                <w:txbxContent>
                  <w:p w:rsidR="00A23304" w:rsidRDefault="00A23304" w:rsidP="00CB31D1">
                    <w:pPr>
                      <w:jc w:val="center"/>
                    </w:pPr>
                    <w:r w:rsidRPr="00F951FA">
                      <w:t>СВ – 21</w:t>
                    </w:r>
                  </w:p>
                </w:txbxContent>
              </v:textbox>
            </v:shape>
            <v:shape id="_x0000_s1076" type="#_x0000_t202" style="position:absolute;left:6106;top:3107;width:892;height:431">
              <v:textbox style="mso-next-textbox:#_x0000_s1076">
                <w:txbxContent>
                  <w:p w:rsidR="00A23304" w:rsidRDefault="00A23304" w:rsidP="00CB31D1">
                    <w:r w:rsidRPr="00F951FA">
                      <w:t>В – 20</w:t>
                    </w:r>
                  </w:p>
                </w:txbxContent>
              </v:textbox>
            </v:shape>
            <v:shape id="_x0000_s1077" type="#_x0000_t202" style="position:absolute;left:4909;top:3834;width:963;height:401">
              <v:textbox style="mso-next-textbox:#_x0000_s1077">
                <w:txbxContent>
                  <w:p w:rsidR="00A23304" w:rsidRDefault="00A23304" w:rsidP="00CB31D1">
                    <w:r w:rsidRPr="005C2621">
                      <w:t>ЮВ – 5</w:t>
                    </w:r>
                  </w:p>
                </w:txbxContent>
              </v:textbox>
            </v:shape>
            <v:shape id="_x0000_s1078" type="#_x0000_t202" style="position:absolute;left:3699;top:4888;width:1020;height:443">
              <v:textbox style="mso-next-textbox:#_x0000_s1078">
                <w:txbxContent>
                  <w:p w:rsidR="00A23304" w:rsidRDefault="00A23304" w:rsidP="00CB31D1">
                    <w:pPr>
                      <w:jc w:val="center"/>
                    </w:pPr>
                    <w:r>
                      <w:t xml:space="preserve">Ю – </w:t>
                    </w:r>
                  </w:p>
                  <w:p w:rsidR="00A23304" w:rsidRDefault="00A23304" w:rsidP="00CB31D1"/>
                </w:txbxContent>
              </v:textbox>
            </v:shape>
            <v:shape id="_x0000_s1079" type="#_x0000_t202" style="position:absolute;left:1604;top:4415;width:1277;height:473">
              <v:textbox style="mso-next-textbox:#_x0000_s1079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ЮЗ – 16</w:t>
                    </w:r>
                  </w:p>
                </w:txbxContent>
              </v:textbox>
            </v:shape>
            <v:shape id="_x0000_s1080" type="#_x0000_t202" style="position:absolute;left:1113;top:3061;width:853;height:432">
              <v:textbox style="mso-next-textbox:#_x0000_s1080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З – 15</w:t>
                    </w:r>
                  </w:p>
                </w:txbxContent>
              </v:textbox>
            </v:shape>
            <v:shape id="_x0000_s1081" type="#_x0000_t202" style="position:absolute;left:1861;top:1273;width:1200;height:448">
              <v:textbox style="mso-next-textbox:#_x0000_s1081">
                <w:txbxContent>
                  <w:p w:rsidR="00A23304" w:rsidRDefault="00A23304" w:rsidP="00CB31D1">
                    <w:pPr>
                      <w:jc w:val="center"/>
                    </w:pPr>
                    <w:r w:rsidRPr="005C2621">
                      <w:t>СЗ – 10</w:t>
                    </w:r>
                  </w:p>
                </w:txbxContent>
              </v:textbox>
            </v:shape>
          </v:group>
        </w:pict>
      </w:r>
      <w:r w:rsidR="00CB31D1"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Определить по таблице пять химических элементов в пылевых выбросах ТЭЦ, наиболее опасных для загрязнения почв. </w:t>
      </w: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СЗ (min)</w:t>
      </w: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360" w:lineRule="auto"/>
        <w:ind w:left="7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ЮЗ  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CB31D1" w:rsidRPr="00CB31D1" w:rsidRDefault="00CB31D1" w:rsidP="00AC1F77">
      <w:pPr>
        <w:tabs>
          <w:tab w:val="left" w:pos="3700"/>
        </w:tabs>
        <w:spacing w:after="0" w:line="240" w:lineRule="exact"/>
        <w:ind w:left="1276" w:hanging="1276"/>
        <w:jc w:val="both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Рис. 2 –</w:t>
      </w: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ab/>
        <w:t>Роза ветров и основные направления техногенного загрязнения выбросами ТЭЦ</w:t>
      </w:r>
    </w:p>
    <w:p w:rsidR="00CB31D1" w:rsidRPr="00CB31D1" w:rsidRDefault="00CB31D1" w:rsidP="00AC1F77">
      <w:pPr>
        <w:tabs>
          <w:tab w:val="left" w:pos="3700"/>
        </w:tabs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lastRenderedPageBreak/>
        <w:t>РАБОТА 2.  ОЦЕНКА ЗАГРЯЗНЕНИЙ ПОЧВ ТЯЖЕЛЫМИ МЕТАЛЛАМИ ПРИ ВНЕСЕНИИ МИНЕРАЛЬНЫХ УДОБРЕНИЙ</w:t>
      </w:r>
    </w:p>
    <w:p w:rsidR="00CB31D1" w:rsidRPr="00CB31D1" w:rsidRDefault="00CB31D1" w:rsidP="00CB31D1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оценки минеральных удобрений как потенциальных загрязнителей почвы тяжёлыми металлами (Ме)  необходимы данные об их содержании в удобрениях и ПДК для пахотных почв.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Содержание тяжелых Ме в минеральных удобрениях и ПДК  для пахотных почв, мг/кг</w:t>
      </w:r>
    </w:p>
    <w:tbl>
      <w:tblPr>
        <w:tblStyle w:val="a9"/>
        <w:tblW w:w="9464" w:type="dxa"/>
        <w:tblLook w:val="01E0"/>
      </w:tblPr>
      <w:tblGrid>
        <w:gridCol w:w="1914"/>
        <w:gridCol w:w="1914"/>
        <w:gridCol w:w="1914"/>
        <w:gridCol w:w="1914"/>
        <w:gridCol w:w="1808"/>
      </w:tblGrid>
      <w:tr w:rsidR="00CB31D1" w:rsidRPr="00CB31D1" w:rsidTr="00CB31D1"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Тяжелые Ме</w:t>
            </w:r>
          </w:p>
        </w:tc>
        <w:tc>
          <w:tcPr>
            <w:tcW w:w="5742" w:type="dxa"/>
            <w:gridSpan w:val="3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Удобрения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ПДК</w:t>
            </w:r>
          </w:p>
        </w:tc>
      </w:tr>
      <w:tr w:rsidR="00CB31D1" w:rsidRPr="00CB31D1" w:rsidTr="00CB31D1">
        <w:tc>
          <w:tcPr>
            <w:tcW w:w="1914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tcBorders>
              <w:righ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азотные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фосфорные</w:t>
            </w:r>
          </w:p>
        </w:tc>
        <w:tc>
          <w:tcPr>
            <w:tcW w:w="1914" w:type="dxa"/>
            <w:tcBorders>
              <w:left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калийные</w:t>
            </w:r>
          </w:p>
        </w:tc>
        <w:tc>
          <w:tcPr>
            <w:tcW w:w="1808" w:type="dxa"/>
            <w:vMerge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174,4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138,1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196,5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201,9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1555,1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186,4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186,4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1230,15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182,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1,3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2,65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0,6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</w:t>
            </w:r>
          </w:p>
        </w:tc>
      </w:tr>
      <w:tr w:rsidR="00CB31D1" w:rsidRPr="00CB31D1" w:rsidTr="00CB31D1"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Hg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0,43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4,6</w:t>
            </w:r>
          </w:p>
        </w:tc>
        <w:tc>
          <w:tcPr>
            <w:tcW w:w="191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0,7</w:t>
            </w:r>
          </w:p>
        </w:tc>
        <w:tc>
          <w:tcPr>
            <w:tcW w:w="18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2,1</w:t>
            </w:r>
          </w:p>
        </w:tc>
      </w:tr>
    </w:tbl>
    <w:p w:rsidR="00CB31D1" w:rsidRPr="00CB31D1" w:rsidRDefault="00CB31D1" w:rsidP="00CB31D1">
      <w:pPr>
        <w:tabs>
          <w:tab w:val="left" w:pos="370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</w:pPr>
    </w:p>
    <w:p w:rsidR="00CB31D1" w:rsidRPr="00CB31D1" w:rsidRDefault="00CB31D1" w:rsidP="00CB31D1">
      <w:pPr>
        <w:numPr>
          <w:ilvl w:val="0"/>
          <w:numId w:val="5"/>
        </w:numPr>
        <w:tabs>
          <w:tab w:val="left" w:pos="-3969"/>
        </w:tabs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Важно также учитывать региональные геохимические особенности аграрных районов. Так,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почвах чернозёмного ряда  Краснодарского края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максимальное валовое содержание тяжелых Ме (мг/кг) достигает: 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для  меди – 30, цинка – 90, свинца – 10, кадмия – 1, ртути – 1.</w:t>
      </w:r>
    </w:p>
    <w:p w:rsidR="00CB31D1" w:rsidRPr="00CB31D1" w:rsidRDefault="00CB31D1" w:rsidP="00CB31D1">
      <w:pPr>
        <w:numPr>
          <w:ilvl w:val="0"/>
          <w:numId w:val="5"/>
        </w:numPr>
        <w:tabs>
          <w:tab w:val="left" w:pos="-3969"/>
        </w:tabs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Увеличение агрохимической нагрузки способствует накоплению загрязнителей в почве. Так, в  РФ запланировано увеличение внесения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удобрений с 33 кг/га до 170 кг/га, в том числе азотных удобрений до 70 кг/га. </w:t>
      </w:r>
    </w:p>
    <w:p w:rsidR="00CB31D1" w:rsidRPr="00CB31D1" w:rsidRDefault="00CB31D1" w:rsidP="00CB31D1">
      <w:pPr>
        <w:tabs>
          <w:tab w:val="left" w:pos="3700"/>
        </w:tabs>
        <w:spacing w:after="120" w:line="240" w:lineRule="auto"/>
        <w:ind w:left="35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Порядок выполнения работы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Для того, чтобы узнать на сколько увеличится поступление пяти тяжёлых Ме (см. табл.) при возрастании несения минеральных удобрений с 33 (2010 г.) до 170 кг/га (2015 г.), в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том числе азотных удобрений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до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70 кг/га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необходимо рассчитать количество поступления удобрений  сначала в 2010 году. Так как общее количество минеральных удобрений в этом году поступило 33 кг/га, что составляет суммарно 1 + 0,78 + 0,64 = 2,42 частей, то на одну часть приходится: 33 : 2,42 = 14 кг/га. Учитывая, что соотношение между основными элементами питания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: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P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: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K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O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составляет 1 : 0,78 : 0,64, то на 1 га пашни в 2010 году поступило азотных, фосфорных и калийных удобрений, соответственно, в кг/га: 14 × 1 = 14, 14 × 0,78 = 11 и 14 × 0,64 = 9.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Затем  по аналогии вычисляем поступление удобрений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2015 г.: 70 × 1 = 70 кг/га, 70 × 0,78 = 55 кг/га, 70 × 0,64 = 45 кг/га. Т.о., количество  азотных, фосфорных и калийных удобрений увеличилось соответственно на  56, 44 и 36 кг/га.</w:t>
      </w:r>
    </w:p>
    <w:p w:rsidR="00CB31D1" w:rsidRPr="00CB31D1" w:rsidRDefault="00CB31D1" w:rsidP="00CB31D1">
      <w:pPr>
        <w:spacing w:after="0" w:line="240" w:lineRule="auto"/>
        <w:ind w:left="567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Зная содержание ТМ в 1 кг удобрений (см. табл.), рассчитываем возможное их поступление с удобрениями: </w:t>
      </w:r>
    </w:p>
    <w:p w:rsidR="00CB31D1" w:rsidRPr="00CB31D1" w:rsidRDefault="00CB31D1" w:rsidP="00CB31D1">
      <w:pPr>
        <w:spacing w:after="0" w:line="240" w:lineRule="auto"/>
        <w:ind w:left="284" w:hanging="284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мг/га в максимальных дозах минеральных удобрений:</w:t>
      </w:r>
    </w:p>
    <w:p w:rsidR="00CB31D1" w:rsidRPr="00CB31D1" w:rsidRDefault="00CB31D1" w:rsidP="00CB31D1">
      <w:pPr>
        <w:tabs>
          <w:tab w:val="left" w:pos="-3686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а) поступило с азотными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174,4 × 56 = 9766,4;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б) поступило с фосфорными Р-удобрениями: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138,1 × 44 = 6078,4;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в) поступило с калийными К-удобрениями: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196,5 × 36 = 7074,0.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Следовательно, суммарно с максимальными дозами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 - удобрений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ежегодно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будет поступать в почву  22918,8 мг/га свинца  или 0,023 кг/га (1кг =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6 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мг).</w:t>
      </w:r>
    </w:p>
    <w:p w:rsidR="00CB31D1" w:rsidRPr="00CB31D1" w:rsidRDefault="00CB31D1" w:rsidP="00CB31D1">
      <w:pPr>
        <w:tabs>
          <w:tab w:val="left" w:pos="-1418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мг/га в минимальных дозах минеральных удобрений,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поступившего в почву с минимальными дозами в начале наблюдений (2010 г.), рассчитываем по аналогии: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а) поступило с азотными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174,4 × 14 = 2441,6;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б) поступило с фосфорными Р-удобрениями: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138,1 × 11 = 1519,1;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в) поступило с калийными К-удобрениями: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196,5 × 9 = 1768,5.  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Следовательно, суммарно с минимальными дозами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NPK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-удобрений  поступило в почву в 2010 году 5729,2мг/га свинца  или 0,006кг/га. </w:t>
      </w:r>
    </w:p>
    <w:p w:rsidR="00CB31D1" w:rsidRPr="00CB31D1" w:rsidRDefault="00CB31D1" w:rsidP="00CB31D1">
      <w:pPr>
        <w:widowControl w:val="0"/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Таким образом, разница в содержании свинца по сравнению с исходным ежегодно будет составлять: 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0,023 кг – 0,06 = 0,017 кг/га, а за 5 лет: 0,017 × 5 = 0,085 кг/га.</w:t>
      </w:r>
    </w:p>
    <w:p w:rsidR="00CB31D1" w:rsidRPr="00CB31D1" w:rsidRDefault="00CB31D1" w:rsidP="00CB31D1">
      <w:pPr>
        <w:spacing w:after="0" w:line="240" w:lineRule="auto"/>
        <w:ind w:left="709" w:hanging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Определяем, как изменятся фоновые значения содержания ТМ в почве через 5 лет. </w:t>
      </w:r>
    </w:p>
    <w:p w:rsidR="00CB31D1" w:rsidRPr="00CB31D1" w:rsidRDefault="00CB31D1" w:rsidP="00CB31D1">
      <w:pPr>
        <w:spacing w:before="120" w:after="0" w:line="240" w:lineRule="auto"/>
        <w:ind w:left="709" w:hanging="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а) рассчитаем  массу пахотного слоя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в т/га: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= 10000 × 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× 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,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где:</w:t>
      </w:r>
    </w:p>
    <w:p w:rsidR="00CB31D1" w:rsidRPr="00CB31D1" w:rsidRDefault="00CB31D1" w:rsidP="00CB31D1">
      <w:pPr>
        <w:tabs>
          <w:tab w:val="left" w:pos="-3969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мощность пахотного слоя, м (Н = 0, 2 м);</w:t>
      </w:r>
    </w:p>
    <w:p w:rsidR="00CB31D1" w:rsidRPr="00CB31D1" w:rsidRDefault="00CB31D1" w:rsidP="00CB31D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плотность сложения, г/см³  или т/м³ (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 1,2 г/см³);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=10000 × 0, 2 × 1, 2 = 2400 т/га.</w:t>
      </w:r>
    </w:p>
    <w:p w:rsidR="00CB31D1" w:rsidRPr="00CB31D1" w:rsidRDefault="00CB31D1" w:rsidP="00CB31D1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б) рассчитаем фоновое содержание ТМ в почвах края (Ф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тм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по формуле: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Ф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тм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= 10</w:t>
      </w:r>
      <w:r w:rsidRPr="00CB31D1">
        <w:rPr>
          <w:rFonts w:ascii="Times New Roman" w:eastAsiaTheme="minorEastAsia" w:hAnsi="Times New Roman" w:cs="Times New Roman"/>
          <w:sz w:val="36"/>
          <w:szCs w:val="36"/>
          <w:vertAlign w:val="superscript"/>
          <w:lang w:eastAsia="ru-RU"/>
        </w:rPr>
        <w:t>-</w:t>
      </w:r>
      <w:r w:rsidRPr="00CB31D1">
        <w:rPr>
          <w:rFonts w:ascii="Times New Roman" w:eastAsiaTheme="minorEastAsia" w:hAnsi="Times New Roman" w:cs="Times New Roman"/>
          <w:sz w:val="36"/>
          <w:szCs w:val="36"/>
          <w:lang w:eastAsia="ru-RU"/>
        </w:rPr>
        <w:t>³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 × ТМ (кг/га),</w:t>
      </w:r>
    </w:p>
    <w:p w:rsidR="00CB31D1" w:rsidRPr="00CB31D1" w:rsidRDefault="00CB31D1" w:rsidP="00CB31D1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например: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Ф</w:t>
      </w:r>
      <w:r w:rsidRPr="00CB31D1">
        <w:rPr>
          <w:rFonts w:ascii="Times New Roman" w:eastAsiaTheme="minorEastAsia" w:hAnsi="Times New Roman" w:cs="Times New Roman"/>
          <w:sz w:val="32"/>
          <w:szCs w:val="32"/>
          <w:vertAlign w:val="subscript"/>
          <w:lang w:val="en-US" w:eastAsia="ru-RU"/>
        </w:rPr>
        <w:t>Pb</w:t>
      </w:r>
      <w:r w:rsidRPr="00CB31D1">
        <w:rPr>
          <w:rFonts w:ascii="Times New Roman" w:eastAsiaTheme="minorEastAsia" w:hAnsi="Times New Roman" w:cs="Times New Roman"/>
          <w:sz w:val="32"/>
          <w:szCs w:val="32"/>
          <w:vertAlign w:val="subscript"/>
          <w:lang w:eastAsia="ru-RU"/>
        </w:rPr>
        <w:t>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10</w:t>
      </w:r>
      <w:r w:rsidRPr="00CB31D1">
        <w:rPr>
          <w:rFonts w:ascii="Times New Roman" w:eastAsiaTheme="minorEastAsia" w:hAnsi="Times New Roman" w:cs="Times New Roman"/>
          <w:sz w:val="36"/>
          <w:szCs w:val="36"/>
          <w:vertAlign w:val="superscript"/>
          <w:lang w:eastAsia="ru-RU"/>
        </w:rPr>
        <w:t>-</w:t>
      </w:r>
      <w:r w:rsidRPr="00CB31D1">
        <w:rPr>
          <w:rFonts w:ascii="Times New Roman" w:eastAsiaTheme="minorEastAsia" w:hAnsi="Times New Roman" w:cs="Times New Roman"/>
          <w:sz w:val="36"/>
          <w:szCs w:val="36"/>
          <w:lang w:eastAsia="ru-RU"/>
        </w:rPr>
        <w:t>³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 2400 × 10 = 24 кг/га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переведем сумму  Фтм +5 × Δ TM в мг/кг по каждому  металлу по формуле:</w:t>
      </w:r>
    </w:p>
    <w:p w:rsidR="00CB31D1" w:rsidRPr="00CB31D1" w:rsidRDefault="003C01C5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sSub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Ф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т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+5×∆ТМ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 w:eastAsia="ru-RU"/>
                    </w:rPr>
                    <m:t>Z×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10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 w:eastAsia="ru-RU"/>
                        </w:rPr>
                        <m:t>-3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/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eastAsia="ru-RU"/>
                        </w:rPr>
                        <m:t>мг/кг</m:t>
                      </m:r>
                    </m:sub>
                  </m:sSub>
                </m:den>
              </m:f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Ф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т</m:t>
              </m:r>
            </m:sub>
          </m:sSub>
          <m:r>
            <m:rPr>
              <m:sty m:val="b"/>
            </m:rP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+5×∆ТМ</m:t>
          </m:r>
        </m:oMath>
      </m:oMathPara>
    </w:p>
    <w:p w:rsidR="00CB31D1" w:rsidRPr="00CB31D1" w:rsidRDefault="00CB31D1" w:rsidP="00CB31D1">
      <w:pPr>
        <w:spacing w:after="0" w:line="240" w:lineRule="auto"/>
        <w:ind w:left="3540" w:firstLine="42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</w:t>
      </w:r>
    </w:p>
    <w:p w:rsidR="00CB31D1" w:rsidRPr="00CB31D1" w:rsidRDefault="003C01C5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24+0,085</m:t>
              </m: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2400×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eastAsia="ru-RU"/>
                    </w:rPr>
                    <m:t>-3</m:t>
                  </m:r>
                </m:sup>
              </m:sSup>
            </m:den>
          </m:f>
          <m:r>
            <m:rPr>
              <m:sty m:val="b"/>
            </m:rP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=10,04 мг/кг.</m:t>
          </m:r>
        </m:oMath>
      </m:oMathPara>
    </w:p>
    <w:p w:rsidR="00CB31D1" w:rsidRPr="00CB31D1" w:rsidRDefault="00CB31D1" w:rsidP="00CB31D1">
      <w:pPr>
        <w:tabs>
          <w:tab w:val="left" w:pos="370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На основании анализа скоростей аккумуляции тяжёлых металлов (ТМ) в почве при внесении минеральных удобрений и сравнения полученных прогнозных оценок с ПДК определите, контроль за какими ТМ в почвах края являются приоритетными. Для этого выполните аналогичные предыдущим расчёты по другим ТМ: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Cu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Zn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Cd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Hg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tabs>
          <w:tab w:val="left" w:pos="3700"/>
        </w:tabs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Ответ: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контроль следует вести за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Cu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так как содержание его в почве (30,18 мг/кг) превышает ПДК (23 мг/кг). </w:t>
      </w:r>
    </w:p>
    <w:p w:rsidR="00CB31D1" w:rsidRPr="00CB31D1" w:rsidRDefault="00CB31D1" w:rsidP="00CB31D1">
      <w:pPr>
        <w:widowControl w:val="0"/>
        <w:tabs>
          <w:tab w:val="left" w:pos="3700"/>
        </w:tabs>
        <w:spacing w:before="240" w:after="0" w:line="240" w:lineRule="auto"/>
        <w:ind w:left="35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Задание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разработать агроэкологический прогноз ситуации по индивидуальному заданию и оформить в виде таблицы.</w:t>
      </w:r>
    </w:p>
    <w:tbl>
      <w:tblPr>
        <w:tblStyle w:val="a9"/>
        <w:tblW w:w="9180" w:type="dxa"/>
        <w:tblLook w:val="01E0"/>
      </w:tblPr>
      <w:tblGrid>
        <w:gridCol w:w="7196"/>
        <w:gridCol w:w="1984"/>
      </w:tblGrid>
      <w:tr w:rsidR="00CB31D1" w:rsidRPr="00CB31D1" w:rsidTr="001073C8">
        <w:trPr>
          <w:trHeight w:val="552"/>
        </w:trPr>
        <w:tc>
          <w:tcPr>
            <w:tcW w:w="7196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</w:t>
            </w:r>
          </w:p>
        </w:tc>
      </w:tr>
      <w:tr w:rsidR="00CB31D1" w:rsidRPr="00CB31D1" w:rsidTr="001073C8">
        <w:trPr>
          <w:trHeight w:val="552"/>
        </w:trPr>
        <w:tc>
          <w:tcPr>
            <w:tcW w:w="7196" w:type="dxa"/>
            <w:vMerge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Увеличение поступления удобрений за 5 лет, кг/га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-3828"/>
              </w:tabs>
              <w:spacing w:line="48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в том числе азотных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Плотность сложения пахотного горизонта А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), г/см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Мощность пахотного слоя Н, см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9180" w:type="dxa"/>
            <w:gridSpan w:val="2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</w:rPr>
              <w:t>Фоновое содержание тяжелых металлов, мг/кг</w:t>
            </w: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Pb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Zn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Cd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1073C8">
        <w:tc>
          <w:tcPr>
            <w:tcW w:w="7196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B31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Hg</w:t>
            </w:r>
          </w:p>
        </w:tc>
        <w:tc>
          <w:tcPr>
            <w:tcW w:w="1984" w:type="dxa"/>
            <w:vAlign w:val="center"/>
          </w:tcPr>
          <w:p w:rsidR="00CB31D1" w:rsidRPr="00CB31D1" w:rsidRDefault="00CB31D1" w:rsidP="001073C8">
            <w:pPr>
              <w:tabs>
                <w:tab w:val="left" w:pos="370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73C8" w:rsidRDefault="001073C8" w:rsidP="001073C8">
      <w:pPr>
        <w:tabs>
          <w:tab w:val="left" w:pos="3700"/>
        </w:tabs>
        <w:spacing w:before="480" w:after="480"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before="480" w:after="480" w:line="240" w:lineRule="auto"/>
        <w:jc w:val="center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РАБОТА 3. ПРОГНОЗ ЭРОДИРУЕМОСТИ ПОЧВ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0" w:firstLine="69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Правильная организация сельскохозяйственного производства на эрозионно опасных территориях требует разработки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прогнозов эрозии почв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 возделывании тех или иных сельскохозяйственных культур и противоэрозионных мероприятий при проектировании орошения,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когда на поля планируется подача дополнительной воды различной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дождевальной техникой.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54" w:firstLine="69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предсказания последствий этих мероприятий предложены различные математические зависимости, оценивающие возможный смыв почв. Математизация прогноза эрозии проходила довольно сложным путем и до последнего времени не имеет окончательного решения.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4" w:right="14" w:firstLine="69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Одним из наиболее простых эмпирических математических выражений, для определения эрозионной опасности земель, полу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ченных на основе наблюдений на стоковых площадках, является универсальное </w:t>
      </w:r>
      <w:r w:rsidRPr="00CB31D1">
        <w:rPr>
          <w:rFonts w:ascii="Times New Roman" w:eastAsiaTheme="minorEastAsia" w:hAnsi="Times New Roman" w:cs="Times New Roman"/>
          <w:b/>
          <w:spacing w:val="-2"/>
          <w:sz w:val="28"/>
          <w:szCs w:val="28"/>
          <w:lang w:eastAsia="ru-RU"/>
        </w:rPr>
        <w:t>уравнение смыва почвы Уишмейера-Смита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:</w:t>
      </w:r>
    </w:p>
    <w:p w:rsidR="00CB31D1" w:rsidRPr="00CB31D1" w:rsidRDefault="00CB31D1" w:rsidP="00CB31D1">
      <w:pPr>
        <w:shd w:val="clear" w:color="auto" w:fill="FFFFFF"/>
        <w:spacing w:before="240" w:after="0" w:line="240" w:lineRule="auto"/>
        <w:ind w:left="23" w:right="11" w:hanging="23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val="en-US" w:eastAsia="ru-RU"/>
        </w:rPr>
        <w:lastRenderedPageBreak/>
        <w:t>A = R × K × I × L × C × P,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right="5" w:firstLine="426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val="en-US"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где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val="en-US" w:eastAsia="ru-RU"/>
        </w:rPr>
        <w:t xml:space="preserve">: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А 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ab/>
        <w:t xml:space="preserve">смыв почвы с единицы площади, т/га;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val="en-US" w:eastAsia="ru-RU"/>
        </w:rPr>
        <w:t>R</w:t>
      </w: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фактор осадков в единицах годового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эрозионного индекса осадков, равный сумме произведений кинетической энергии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дождевых осадков слоем более 1 / 2 дюйма (дюйм равен 12,2 мм) на их максималь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ную тридцати минутную интенсивность (для упрощения расчетов эрозионный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индекс делят на 100); фактор осадков в единицах годового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эрозионного индекса осадков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равен 26 (для равнинной территории Краснодарского края) и 29 – для предгорной зоны края. Они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были опре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делены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по материалам наблюдений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дождевыми осадками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 максимальной тридцатиминутной интенсивностью. На массивах, проектируемых под орошение, расчеты проводили с учетом количества воды,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подаваемой оросительными системами.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К 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фактор эродируемости почв, равный отношению коли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чества смытой почвы с эталонного участка к единице эрозионного индекса осадков (за эталонный участок принят склон крутизной 4,5 и длиной 22,1 м, содержащийся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 паром с обработкой вдоль склона);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фактор крутизны склона, численно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равный отношению количества смытой почвы со склона данной крутизны к коли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честву почвы, смытой с участка крутизной 4,5 ° при одинаковой длине склона;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фактор длины склона, равный отношению количества почвы, смытой со скло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на данной длины, к количеству почвы, смытой с участка длиной 22,1 м при одина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ковой крутизне;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i/>
          <w:iCs/>
          <w:spacing w:val="-1"/>
          <w:sz w:val="28"/>
          <w:szCs w:val="28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ab/>
        <w:t xml:space="preserve">фактор севооборота, равный отношению количества почвы,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смытой с поля при данном севообороте и принятой системе обработки почвы, к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смыву почв с такого же поля, находящегося под черным паром; </w:t>
      </w:r>
    </w:p>
    <w:p w:rsidR="00CB31D1" w:rsidRPr="00CB31D1" w:rsidRDefault="00CB31D1" w:rsidP="00CB31D1">
      <w:pPr>
        <w:shd w:val="clear" w:color="auto" w:fill="FFFFFF"/>
        <w:spacing w:before="77" w:after="0" w:line="240" w:lineRule="auto"/>
        <w:ind w:left="851" w:right="5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pacing w:val="-2"/>
          <w:sz w:val="28"/>
          <w:szCs w:val="28"/>
          <w:lang w:eastAsia="ru-RU"/>
        </w:rPr>
        <w:t xml:space="preserve">Р 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фактор почво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защитных мероприятий, равный количеству смытой почвы с поля, на котором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применяют противоэрозионные мероприятия, к количеству почвы, смываемой с поля, на котором обработку ведут вдоль склона.</w:t>
      </w:r>
    </w:p>
    <w:p w:rsidR="00CB31D1" w:rsidRPr="00CB31D1" w:rsidRDefault="00CB31D1" w:rsidP="00CB31D1">
      <w:pPr>
        <w:shd w:val="clear" w:color="auto" w:fill="FFFFFF"/>
        <w:spacing w:after="120" w:line="240" w:lineRule="auto"/>
        <w:ind w:left="6" w:right="45" w:firstLine="697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Определение второго фактора (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val="en-US" w:eastAsia="ru-RU"/>
        </w:rPr>
        <w:t>K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) при прогнозировании эрозии сводится к выявле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нию эродируемости почв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номограмме Уишмейера, Джонса, Кроса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(рис. 1), которая учитывает следующие пять свойств почв: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1 –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ab/>
        <w:t>суммарное содер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жание фракций мелкого песка и пыли (0,1 – 0,001 мм);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песчаной фракции (1 – 0,1 мм);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3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гумуса (%);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4 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содержание водопрочных агрегатов размером более 0,25 мм; </w:t>
      </w:r>
    </w:p>
    <w:p w:rsidR="00CB31D1" w:rsidRPr="00CB31D1" w:rsidRDefault="00CB31D1" w:rsidP="00CB31D1">
      <w:pPr>
        <w:shd w:val="clear" w:color="auto" w:fill="FFFFFF"/>
        <w:spacing w:after="360" w:line="240" w:lineRule="auto"/>
        <w:ind w:left="709" w:right="45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5 –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ab/>
        <w:t>водо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проницаемость почв.</w:t>
      </w:r>
    </w:p>
    <w:p w:rsidR="00CB31D1" w:rsidRPr="00CB31D1" w:rsidRDefault="00CB31D1" w:rsidP="00CB31D1">
      <w:pPr>
        <w:shd w:val="clear" w:color="auto" w:fill="FFFFFF"/>
        <w:spacing w:line="360" w:lineRule="auto"/>
        <w:ind w:righ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2809"/>
            <wp:effectExtent l="19050" t="0" r="3175" b="0"/>
            <wp:docPr id="3" name="Рисунок 0" descr="Ном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мограмм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D1" w:rsidRPr="00CB31D1" w:rsidRDefault="00CB31D1" w:rsidP="00CB31D1">
      <w:pPr>
        <w:widowControl w:val="0"/>
        <w:shd w:val="clear" w:color="auto" w:fill="FFFFFF"/>
        <w:spacing w:before="120" w:after="360"/>
        <w:ind w:left="1418" w:hanging="113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Cs/>
          <w:spacing w:val="-5"/>
          <w:sz w:val="28"/>
          <w:szCs w:val="28"/>
          <w:lang w:eastAsia="ru-RU"/>
        </w:rPr>
        <w:t>Рис. 1 –</w:t>
      </w:r>
      <w:r w:rsidRPr="00CB31D1">
        <w:rPr>
          <w:rFonts w:ascii="Times New Roman" w:eastAsiaTheme="minorEastAsia" w:hAnsi="Times New Roman" w:cs="Times New Roman"/>
          <w:bCs/>
          <w:spacing w:val="-5"/>
          <w:sz w:val="28"/>
          <w:szCs w:val="28"/>
          <w:lang w:eastAsia="ru-RU"/>
        </w:rPr>
        <w:tab/>
        <w:t xml:space="preserve">Номограмма Уишмейера,  Джонса, Кроса для  определения  показателей </w:t>
      </w:r>
      <w:r w:rsidRPr="00CB31D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эродируемости почвы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(стрелками показан ход вычислений)</w:t>
      </w:r>
      <w:r w:rsidRPr="00CB31D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CB31D1" w:rsidRPr="00CB31D1" w:rsidRDefault="00CB31D1" w:rsidP="00CB31D1">
      <w:pPr>
        <w:shd w:val="clear" w:color="auto" w:fill="FFFFFF"/>
        <w:spacing w:before="120"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а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содержание гумуса, %;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CB31D1" w:rsidRPr="00CB31D1" w:rsidRDefault="00CB31D1" w:rsidP="00CB31D1">
      <w:pPr>
        <w:shd w:val="clear" w:color="auto" w:fill="FFFFFF"/>
        <w:spacing w:before="120"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б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песка, %;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в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содержание водопрочных агрегатов размером более 0,25 мм,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%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(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 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&gt; 50;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50 ... 25;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25 ... 10;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&lt; 10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%)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z w:val="28"/>
          <w:szCs w:val="28"/>
          <w:lang w:eastAsia="ru-RU"/>
        </w:rPr>
        <w:t xml:space="preserve">г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–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водопроницаемость, мм (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&gt; 4; </w:t>
      </w: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4 ... 3;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3 ... 2;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 ... 1;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5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–1 ... 0,5;  </w:t>
      </w:r>
      <w:r w:rsidRPr="00CB31D1">
        <w:rPr>
          <w:rFonts w:ascii="Times New Roman" w:eastAsiaTheme="minorEastAsia" w:hAnsi="Times New Roman" w:cs="Times New Roman"/>
          <w:b/>
          <w:i/>
          <w:iCs/>
          <w:sz w:val="28"/>
          <w:szCs w:val="28"/>
          <w:lang w:eastAsia="ru-RU"/>
        </w:rPr>
        <w:t>6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– &lt; 0,5); 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эродируемость почв в зависимости от гранулометрического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состава и содержания гумуса;  </w:t>
      </w:r>
    </w:p>
    <w:p w:rsidR="00CB31D1" w:rsidRPr="00CB31D1" w:rsidRDefault="00CB31D1" w:rsidP="00CB31D1">
      <w:pPr>
        <w:widowControl w:val="0"/>
        <w:shd w:val="clear" w:color="auto" w:fill="FFFFFF"/>
        <w:spacing w:after="0" w:line="240" w:lineRule="auto"/>
        <w:ind w:left="851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b/>
          <w:iCs/>
          <w:spacing w:val="-1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iCs/>
          <w:spacing w:val="-1"/>
          <w:sz w:val="28"/>
          <w:szCs w:val="28"/>
          <w:lang w:eastAsia="ru-RU"/>
        </w:rPr>
        <w:t xml:space="preserve">–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эродируемость почв с учетом всех пяти факто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ров. </w:t>
      </w:r>
    </w:p>
    <w:p w:rsidR="00CB31D1" w:rsidRPr="00CB31D1" w:rsidRDefault="00CB31D1" w:rsidP="00CB31D1">
      <w:pPr>
        <w:shd w:val="clear" w:color="auto" w:fill="FFFFFF"/>
        <w:spacing w:before="24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Ход этих вычислений имеет следующий вид.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right="43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Допустим, что в почве содержится 65 % частиц фракций размером 0,1 – 0,001 мм. Находим эту точку на оси ординат левой части номограммы и от нее параллельно оси абсцисс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ведем линию до пересечения с пучком кривых содержания в почве фракций 0,1 – 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1 мм. 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right="4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В исследуемой почве содержание данной фракции составляет 5 %. От этой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точки восстанавливаем перпендикуляр до пересечения с кривой содержания в па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хотном слое гумуса. В нашем случае в почве содержится 3,5 % гумуса. Ведем ли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нию до пересечения с этой кривой. Затем параллельно оси абсцисс продолжаем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линию до пересечения с концом левой части номограммы, на которой нанесены зна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чения фактора эродируемости 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hd w:val="clear" w:color="auto" w:fill="FFFFFF"/>
        <w:spacing w:before="5" w:after="0" w:line="240" w:lineRule="auto"/>
        <w:ind w:left="58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lastRenderedPageBreak/>
        <w:t xml:space="preserve">Таким образом, фактор эродируемости вычисляется по данным содержания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гумуса и гранулометрического состава. В рассматриваемом случае получим значе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ние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равное 2 т/га.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Далее продолжаем последнюю линию по правой части номограммы до пересе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чения с линиями содержания в почве водопрочных агрегатов размером более 0,25 мм. В рассматриваемой почве их содержится 29 %. Затем опускаем линию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к оси абсцисс до пересечения с линиями, характеризующими водопроницаемость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почв. В рассматриваемом случае водопроницаемость почвы составляет 2 – 1 (1,5) мм/мин (</w:t>
      </w:r>
      <w:r w:rsidRPr="00CB31D1">
        <w:rPr>
          <w:rFonts w:ascii="Times New Roman" w:eastAsiaTheme="minorEastAsia" w:hAnsi="Times New Roman" w:cs="Times New Roman"/>
          <w:b/>
          <w:spacing w:val="-2"/>
          <w:sz w:val="28"/>
          <w:szCs w:val="28"/>
          <w:lang w:eastAsia="ru-RU"/>
        </w:rPr>
        <w:t>приложение  24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).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пересечения с этой линией ведем линию к оси ординат, на которой показа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ны значения эродируемости почв с учетом всех пяти показателей – 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i/>
          <w:iCs/>
          <w:spacing w:val="-4"/>
          <w:sz w:val="28"/>
          <w:szCs w:val="28"/>
          <w:lang w:eastAsia="ru-RU"/>
        </w:rPr>
        <w:t xml:space="preserve">.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Найденное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значение равно 2,2 т/га.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Таким образом, использование при расчетах прогноза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агрегатного состава и водопроницаемости позволяет уточнить значение эрозион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ной опасности почв, полученное при учете первых факторов. </w:t>
      </w:r>
    </w:p>
    <w:p w:rsidR="00CB31D1" w:rsidRPr="00CB31D1" w:rsidRDefault="00CB31D1" w:rsidP="00CB31D1">
      <w:pPr>
        <w:shd w:val="clear" w:color="auto" w:fill="FFFFFF"/>
        <w:spacing w:before="14" w:after="0" w:line="240" w:lineRule="auto"/>
        <w:ind w:left="14" w:right="48" w:firstLine="709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Найденное значение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говорит о том, что если почва находится под паром, обрабатывается вдоль склона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его уклоне 4,5 и длине 22,1 м, то на каждую единицу эрозионного индекса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будет теряться от эрозии 2,2 т/га в год. При эрозионном индексе, равном 26, кото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рый наиболее характерен для равнинной территории края, годовая потеря почв составит 62,4 т/га.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0" w:right="53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Следующий этап составления прогноза – это учет влияния на эрозию крутизны и длины склонов, отличающихся от стандартных (4,5 крутизна и 22,1 м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длина). Данные по крутизне и длине склонов берут с карты уклонов. Влияние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крутизны и длины склонов учитывают с помощью эмпирической формулы, полу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ченной американскими исследователями: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1" w:right="51" w:firstLine="709"/>
        <w:jc w:val="both"/>
        <w:rPr>
          <w:oMath/>
          <w:rFonts w:ascii="Cambria Math" w:eastAsiaTheme="minorEastAsia" w:hAnsi="Cambria Math" w:cs="Times New Roman"/>
          <w:sz w:val="28"/>
          <w:szCs w:val="28"/>
          <w:lang w:val="en-US" w:eastAsia="ru-RU"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F(IL)=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(1,36+0,97×I+0,1385×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)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L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(1,36+0,97×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c</m:t>
                      </m:r>
                    </m:sub>
                  </m:s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+0,1385×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ascii="Times New Roman" w:eastAsiaTheme="minorEastAsia" w:hAnsi="Times New Roman" w:cs="Times New Roman"/>
                              <w:b/>
                              <w:sz w:val="28"/>
                              <w:szCs w:val="28"/>
                              <w:lang w:val="en-US" w:eastAsia="ru-RU"/>
                            </w:rPr>
                            <m:t>I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Times New Roman" w:eastAsiaTheme="minorEastAsia" w:hAnsi="Times New Roman" w:cs="Times New Roman"/>
                              <w:b/>
                              <w:sz w:val="28"/>
                              <w:szCs w:val="28"/>
                              <w:lang w:val="en-US" w:eastAsia="ru-RU"/>
                            </w:rPr>
                            <m:t>c</m:t>
                          </m:r>
                        </m:sub>
                      </m:sSub>
                    </m:e>
                    <m:sup>
                      <m:r>
                        <m:rPr>
                          <m:nor/>
                        </m:rP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sup>
                  </m:sSup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val="en-US" w:eastAsia="ru-RU"/>
                    </w:rPr>
                    <m:t>)</m:t>
                  </m:r>
                </m:e>
              </m:rad>
            </m:den>
          </m:f>
        </m:oMath>
      </m:oMathPara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(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IL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фактор крутизны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длины склона 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>;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стандартной площадки, м;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крутизна стандартной площадки,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%.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Например, для территории с длинной склона (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L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 60м и крутизной (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2º: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1" w:right="51" w:firstLine="709"/>
        <w:jc w:val="both"/>
        <w:rPr>
          <w:oMath/>
          <w:rFonts w:ascii="Cambria Math" w:eastAsiaTheme="minorEastAsia" w:hAnsi="Cambria Math" w:cs="Times New Roman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F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(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val="en-US" w:eastAsia="ru-RU"/>
            </w:rPr>
            <m:t>IL</m:t>
          </m:r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)=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sz w:val="28"/>
                  <w:szCs w:val="28"/>
                  <w:lang w:eastAsia="ru-RU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m:t>22,1×(1,36+0,97×2+0,1385×4)</m:t>
                  </m:r>
                </m:e>
              </m:rad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b/>
                      <w:sz w:val="28"/>
                      <w:szCs w:val="28"/>
                      <w:lang w:eastAsia="ru-RU"/>
                    </w:rPr>
                    <m:t>60(1,36+0,97×4,5+0,1385×20,25</m:t>
                  </m:r>
                </m:e>
              </m:rad>
            </m:den>
          </m:f>
          <m:r>
            <m:rPr>
              <m:nor/>
            </m:rPr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  <m:t>=0,408</m:t>
          </m:r>
        </m:oMath>
      </m:oMathPara>
    </w:p>
    <w:p w:rsidR="00CB31D1" w:rsidRPr="00CB31D1" w:rsidRDefault="00CB31D1" w:rsidP="00CB31D1">
      <w:pPr>
        <w:shd w:val="clear" w:color="auto" w:fill="FFFFFF"/>
        <w:spacing w:before="58" w:after="0" w:line="240" w:lineRule="auto"/>
        <w:ind w:firstLine="708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Следовательно,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смыв почвы с единицы площади за год составит: </w:t>
      </w:r>
    </w:p>
    <w:p w:rsidR="00CB31D1" w:rsidRPr="00CB31D1" w:rsidRDefault="00CB31D1" w:rsidP="00CB31D1">
      <w:pPr>
        <w:shd w:val="clear" w:color="auto" w:fill="FFFFFF"/>
        <w:spacing w:before="58"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A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 = 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RKF</w:t>
      </w:r>
      <w:r w:rsidRPr="00CB31D1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= 2,4 × 26 × 0,408 = 25,46 т/га.</w:t>
      </w:r>
    </w:p>
    <w:p w:rsidR="00CB31D1" w:rsidRPr="00CB31D1" w:rsidRDefault="00CB31D1" w:rsidP="00CB31D1">
      <w:pPr>
        <w:shd w:val="clear" w:color="auto" w:fill="FFFFFF"/>
        <w:spacing w:before="62" w:after="0" w:line="240" w:lineRule="auto"/>
        <w:ind w:left="5" w:right="53" w:firstLine="70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оценки степени эродированности исследуемой территории М.Н. Заславским (Ю.С. Толчельников, 1990) было выделено шесть градаций по степени опасности смыва почвы под чёрным паром за год при его обработке вдоль склона: </w:t>
      </w:r>
    </w:p>
    <w:tbl>
      <w:tblPr>
        <w:tblStyle w:val="a9"/>
        <w:tblW w:w="0" w:type="auto"/>
        <w:tblInd w:w="5" w:type="dxa"/>
        <w:tblLook w:val="04A0"/>
      </w:tblPr>
      <w:tblGrid>
        <w:gridCol w:w="4729"/>
        <w:gridCol w:w="4730"/>
      </w:tblGrid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Смыв почвы </w:t>
            </w:r>
          </w:p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 единицы площади, т/га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опасности смыва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очень слабая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50 – 100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слабая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100 – 150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150 – 200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сильная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200 – 250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 xml:space="preserve">очень сильная </w:t>
            </w:r>
          </w:p>
        </w:tc>
      </w:tr>
      <w:tr w:rsidR="00CB31D1" w:rsidRPr="00CB31D1" w:rsidTr="00CB31D1">
        <w:tc>
          <w:tcPr>
            <w:tcW w:w="4729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более 250</w:t>
            </w:r>
          </w:p>
        </w:tc>
        <w:tc>
          <w:tcPr>
            <w:tcW w:w="4730" w:type="dxa"/>
            <w:vAlign w:val="center"/>
          </w:tcPr>
          <w:p w:rsidR="00CB31D1" w:rsidRPr="00CB31D1" w:rsidRDefault="00CB31D1" w:rsidP="00CB31D1">
            <w:pPr>
              <w:spacing w:before="62"/>
              <w:ind w:right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чрезвычайно опасная</w:t>
            </w:r>
          </w:p>
        </w:tc>
      </w:tr>
    </w:tbl>
    <w:p w:rsidR="00CB31D1" w:rsidRPr="00CB31D1" w:rsidRDefault="00CB31D1" w:rsidP="00CB31D1">
      <w:pPr>
        <w:shd w:val="clear" w:color="auto" w:fill="FFFFFF"/>
        <w:spacing w:before="62" w:after="0" w:line="240" w:lineRule="auto"/>
        <w:ind w:left="5" w:right="53" w:firstLine="70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Итак, прогноз эродированности исследуемой территории  при хорошей водопроницаемости почвы и небольшой крутизне длинного склона характеризуется как очень слабым.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Американские службы используют все показа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тели, которые входят в формулу Уишмейера – Смита, то есть, помимо приведен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ных в номограмме параметров, учитывают влияние на противоэрозионную стой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кость почв разных сельскохозяйственных культур и почвозащитное действие </w:t>
      </w: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противоэрозионных мероприятий.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Но при таком расчете возникают свои сложнос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ти прогноза, поэтому усовершенствование методики составления прогнозных почвенных карт является одной из проблем специалистов сельскохозяйственного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производства.</w:t>
      </w:r>
    </w:p>
    <w:p w:rsidR="00CB31D1" w:rsidRPr="00CB31D1" w:rsidRDefault="00CB31D1" w:rsidP="00CB31D1">
      <w:pPr>
        <w:shd w:val="clear" w:color="auto" w:fill="FFFFFF"/>
        <w:spacing w:before="240" w:after="0" w:line="240" w:lineRule="auto"/>
        <w:ind w:right="45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Прогноз эродируемости необходимо рассчитать по индивидуальному заданию и оформить в виде таблицы:</w:t>
      </w:r>
    </w:p>
    <w:tbl>
      <w:tblPr>
        <w:tblStyle w:val="a9"/>
        <w:tblW w:w="0" w:type="auto"/>
        <w:tblLook w:val="04A0"/>
      </w:tblPr>
      <w:tblGrid>
        <w:gridCol w:w="7479"/>
        <w:gridCol w:w="2092"/>
      </w:tblGrid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Длина склона (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L 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Крутизна склона (</w:t>
            </w:r>
            <w:r w:rsidRPr="00CB3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I 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), °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физического песка (частиц более 0,01 мм),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физической глины (частиц более 0,01 мм),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гумуса,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Содержание водопрочных агрегатов более 0,25 мм, %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Водопроницаемость почвы, мм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c>
          <w:tcPr>
            <w:tcW w:w="7479" w:type="dxa"/>
            <w:vAlign w:val="center"/>
          </w:tcPr>
          <w:p w:rsidR="00CB31D1" w:rsidRPr="00CB31D1" w:rsidRDefault="00CB31D1" w:rsidP="00CB31D1">
            <w:pPr>
              <w:ind w:right="45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>Смыв почвы с единицы площади ( А ), т/га</w:t>
            </w:r>
          </w:p>
        </w:tc>
        <w:tc>
          <w:tcPr>
            <w:tcW w:w="2092" w:type="dxa"/>
            <w:vAlign w:val="center"/>
          </w:tcPr>
          <w:p w:rsidR="00CB31D1" w:rsidRPr="00CB31D1" w:rsidRDefault="00CB31D1" w:rsidP="00CB31D1">
            <w:pPr>
              <w:ind w:right="4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31D1" w:rsidRPr="00CB31D1" w:rsidRDefault="00CB31D1" w:rsidP="00CB31D1">
      <w:pPr>
        <w:spacing w:line="240" w:lineRule="auto"/>
        <w:rPr>
          <w:rFonts w:eastAsiaTheme="minorEastAsia"/>
          <w:lang w:eastAsia="ru-RU"/>
        </w:rPr>
      </w:pPr>
    </w:p>
    <w:p w:rsidR="00CB31D1" w:rsidRPr="00CB31D1" w:rsidRDefault="00CB31D1" w:rsidP="00CB31D1">
      <w:pPr>
        <w:spacing w:before="480"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РАБОТА 4.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ОПРЕДЕЛЕНИЕ СТЕПЕНИ СОЛОНЦЕВАТОСТИ ПОЧВ </w:t>
      </w:r>
    </w:p>
    <w:p w:rsidR="00CB31D1" w:rsidRPr="00CB31D1" w:rsidRDefault="00CB31D1" w:rsidP="00CB31D1">
      <w:pPr>
        <w:spacing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 РАСЧЕТ ДОЗ ГИПСА</w:t>
      </w:r>
    </w:p>
    <w:p w:rsidR="00CB31D1" w:rsidRPr="00CB31D1" w:rsidRDefault="00CB31D1" w:rsidP="00CB31D1">
      <w:pPr>
        <w:spacing w:after="0"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Почвы насыщенные основаниями могут содержать избыточное количество обменного натрия, отрицательно влияющего на их плодородие. Степень солонцеватости почв устанавливается по формуле: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w:lastRenderedPageBreak/>
            <m:t>A=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Na×100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E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где: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А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степень солонцеватости, % от емкости обмена; 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обменного натрия, мг–экв на 100 г почвы; </w:t>
      </w:r>
    </w:p>
    <w:p w:rsidR="00CB31D1" w:rsidRPr="00CB31D1" w:rsidRDefault="00CB31D1" w:rsidP="00CB31D1">
      <w:pPr>
        <w:spacing w:after="0" w:line="240" w:lineRule="auto"/>
        <w:ind w:left="993" w:hanging="284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Е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емкость обмена, мг–экв на 100 г почвы.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По степени солонцеватости различают: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 несолонцеватые почвы, содержащие менее 3 % поглощенного натрия от емкости катионного обмена;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слабосолонцеватые – 3–5 %;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среднесолонцеватые – 5–10 %;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сильносолонцеватые – 10–15 %.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Солонцы по содержанию обменного натрия в горизонте В</w:t>
      </w:r>
      <w:r w:rsidRPr="00CB31D1">
        <w:rPr>
          <w:rFonts w:ascii="Times New Roman" w:eastAsiaTheme="minorEastAsia" w:hAnsi="Times New Roman"/>
          <w:b/>
          <w:sz w:val="28"/>
          <w:szCs w:val="28"/>
          <w:vertAlign w:val="subscript"/>
          <w:lang w:eastAsia="ru-RU"/>
        </w:rPr>
        <w:t>1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: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малонатриевые – 10–20 %;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средненатриевые – 20–40 %; </w:t>
      </w:r>
    </w:p>
    <w:p w:rsidR="00CB31D1" w:rsidRPr="00CB31D1" w:rsidRDefault="00CB31D1" w:rsidP="00CB31D1">
      <w:pPr>
        <w:spacing w:after="0" w:line="240" w:lineRule="auto"/>
        <w:ind w:left="709" w:hanging="56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многонатриевые – &gt; 40 %.</w:t>
      </w:r>
    </w:p>
    <w:p w:rsidR="00CB31D1" w:rsidRPr="00CB31D1" w:rsidRDefault="00CB31D1" w:rsidP="00CB31D1">
      <w:pPr>
        <w:spacing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Пример расчетов.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При анализе каштановой почвы получены следующие данные: содержание обменного натрия в пахотном слое мощностью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25 см и плотностью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1,39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составило 2,8 мг–экв на 100 г почвы, емкость обмена  – 20 мг–экв на 100 г почвы.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Степень солонцеватости равна: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2,8×100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20</m:t>
              </m:r>
            </m:den>
          </m:f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=14%</m:t>
          </m:r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Почва относится к сильносолонцеватой и нуждается в химической мелиорации.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Для улучшения свойств солонцов и солонцеватых почв в качестве химического мелиоранта чаще всего используется гипс (Са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SO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.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О). Дозу гипса находят по формуле: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b/>
          <w:i/>
          <w:sz w:val="28"/>
          <w:szCs w:val="28"/>
          <w:lang w:val="en-US" w:eastAsia="ru-RU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28"/>
              <w:szCs w:val="28"/>
              <w:lang w:eastAsia="ru-RU"/>
            </w:rPr>
            <m:t>Д=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0,086×(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Na-0.05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E)×h×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 w:eastAsia="ru-RU"/>
                    </w:rPr>
                    <m:t>v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×100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DB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Д   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доза гипса, т/га;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0,086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значение 1 мг-экв гипса,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Na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обменного натрия, мг-экв на 100 г почвы;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Е   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емкость обмена, мг–экв на 100 г почвы;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0,05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количество обменного натрия (в % от емкости обмена) не оказывающее отрицательного влияния на свойства почвы и оставляемое в ППК;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мощность пахотного слоя, см;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плотность почвы,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; </w:t>
      </w:r>
    </w:p>
    <w:p w:rsidR="00CB31D1" w:rsidRPr="00CB31D1" w:rsidRDefault="00CB31D1" w:rsidP="00CB31D1">
      <w:pPr>
        <w:spacing w:after="0" w:line="240" w:lineRule="auto"/>
        <w:ind w:left="1701" w:hanging="981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DB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содержание 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CaSO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4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.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 в мелиоранте, %.</w:t>
      </w:r>
    </w:p>
    <w:p w:rsidR="00CB31D1" w:rsidRPr="00CB31D1" w:rsidRDefault="00CB31D1" w:rsidP="00CB31D1">
      <w:pPr>
        <w:spacing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В нашем случае при содержании гипса в мелиоранте 75 % его доза составит:</w:t>
      </w:r>
    </w:p>
    <w:p w:rsidR="00CB31D1" w:rsidRPr="00CB31D1" w:rsidRDefault="00CB31D1" w:rsidP="00CB31D1">
      <w:pPr>
        <w:spacing w:line="240" w:lineRule="auto"/>
        <w:ind w:firstLine="72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position w:val="-24"/>
          <w:sz w:val="28"/>
          <w:szCs w:val="28"/>
          <w:lang w:eastAsia="ru-RU"/>
        </w:rPr>
        <w:object w:dxaOrig="4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35pt;height:31.1pt" o:ole="" fillcolor="window">
            <v:imagedata r:id="rId8" o:title=""/>
          </v:shape>
          <o:OLEObject Type="Embed" ProgID="Equation.3" ShapeID="_x0000_i1025" DrawAspect="Content" ObjectID="_1501319883" r:id="rId9"/>
        </w:objec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= 7,2 т/га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Задание для самостоятельной работы:</w:t>
      </w:r>
    </w:p>
    <w:p w:rsidR="00CB31D1" w:rsidRPr="00CB31D1" w:rsidRDefault="00CB31D1" w:rsidP="00CB31D1">
      <w:pPr>
        <w:spacing w:after="0" w:line="24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данным 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приложения 2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8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необходимо:</w:t>
      </w:r>
    </w:p>
    <w:p w:rsidR="00CB31D1" w:rsidRPr="00CB31D1" w:rsidRDefault="00CB31D1" w:rsidP="00CB31D1">
      <w:pPr>
        <w:numPr>
          <w:ilvl w:val="0"/>
          <w:numId w:val="4"/>
        </w:numPr>
        <w:tabs>
          <w:tab w:val="num" w:pos="-2835"/>
        </w:tabs>
        <w:spacing w:after="0" w:line="240" w:lineRule="auto"/>
        <w:ind w:left="709" w:hanging="42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Дать агрономическую оценку физико-химическим свойствам почвы</w:t>
      </w:r>
    </w:p>
    <w:p w:rsidR="00CB31D1" w:rsidRPr="00CB31D1" w:rsidRDefault="00CB31D1" w:rsidP="00CB31D1">
      <w:pPr>
        <w:numPr>
          <w:ilvl w:val="0"/>
          <w:numId w:val="4"/>
        </w:numPr>
        <w:tabs>
          <w:tab w:val="num" w:pos="-2835"/>
        </w:tabs>
        <w:spacing w:after="0" w:line="240" w:lineRule="auto"/>
        <w:ind w:left="709" w:hanging="425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Определить потребность почвы в химической мелиорации и если необходимо рассчитать дозу мелиоранта.</w:t>
      </w:r>
    </w:p>
    <w:p w:rsidR="00CB31D1" w:rsidRPr="00CB31D1" w:rsidRDefault="00CB31D1" w:rsidP="00CB31D1">
      <w:pPr>
        <w:spacing w:before="480" w:after="48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 xml:space="preserve">РАБОТА 5.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ОПРЕДЕЛЕНИЕ ПОТРЕБНОСТИ ПОЧВ В ИЗВЕСТКОВАНИИ И ВЫЧИСЛЕНИЕ ДОЗ ИЗВЕСТИ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Нуждаемость почвы в известковании определяют, учитывая следующие показатели: рН солевой вытяжки, степень насыщенности основаниями, гранулометрический состав, чувствительность возделываемых растений к кислотности.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В первом приближении потребность почв в известковании можно установить по рН солевой вытяжки (</w:t>
      </w:r>
      <w:r w:rsidRPr="00CB31D1">
        <w:rPr>
          <w:rFonts w:ascii="Times New Roman" w:eastAsiaTheme="minorEastAsia" w:hAnsi="Times New Roman"/>
          <w:sz w:val="24"/>
          <w:szCs w:val="24"/>
          <w:lang w:eastAsia="ru-RU"/>
        </w:rPr>
        <w:t>КС1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), руководствуясь следующими данными:</w:t>
      </w:r>
    </w:p>
    <w:p w:rsidR="00CB31D1" w:rsidRPr="00CB31D1" w:rsidRDefault="00CB31D1" w:rsidP="00CB31D1">
      <w:pPr>
        <w:widowControl w:val="0"/>
        <w:spacing w:before="240"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сильно нуждается в известковании, рН &lt; 4,5 ;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средне нуждается в известковании, рН 4,5 – 5,0 ;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III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слабо нуждается в известковании, рН 5,1 – 5,5 ;</w:t>
      </w:r>
    </w:p>
    <w:p w:rsidR="00CB31D1" w:rsidRPr="00CB31D1" w:rsidRDefault="00CB31D1" w:rsidP="00CB31D1">
      <w:pPr>
        <w:widowControl w:val="0"/>
        <w:spacing w:after="240" w:line="240" w:lineRule="auto"/>
        <w:ind w:firstLine="72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IV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почва не нуждается в известковании, рН &gt; 5,5.</w:t>
      </w:r>
    </w:p>
    <w:p w:rsidR="00CB31D1" w:rsidRPr="00CB31D1" w:rsidRDefault="00CB31D1" w:rsidP="001073C8">
      <w:pPr>
        <w:widowControl w:val="0"/>
        <w:spacing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Для суждения о необходимости известкования минеральных и торфяных почв с учетом их рН, степени насыщенности основаниями и гранулометрического состава можно руководствоваться следующими нормативами:</w:t>
      </w:r>
    </w:p>
    <w:p w:rsidR="00CB31D1" w:rsidRPr="00CB31D1" w:rsidRDefault="00CB31D1" w:rsidP="00CB31D1">
      <w:pPr>
        <w:widowControl w:val="0"/>
        <w:spacing w:after="0" w:line="240" w:lineRule="auto"/>
        <w:ind w:left="1701" w:hanging="1701"/>
        <w:jc w:val="both"/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  <w:t xml:space="preserve">Таблица    – </w:t>
      </w:r>
      <w:r w:rsidRPr="00CB31D1">
        <w:rPr>
          <w:rFonts w:ascii="Times New Roman" w:eastAsiaTheme="minorEastAsia" w:hAnsi="Times New Roman"/>
          <w:spacing w:val="-14"/>
          <w:sz w:val="28"/>
          <w:szCs w:val="28"/>
          <w:lang w:eastAsia="ru-RU"/>
        </w:rPr>
        <w:tab/>
        <w:t>Нуждаемость почвы в известковании в зависимости от ее свойств (М. Ф. Корнилов, 1965)</w:t>
      </w:r>
    </w:p>
    <w:tbl>
      <w:tblPr>
        <w:tblW w:w="9445" w:type="dxa"/>
        <w:jc w:val="center"/>
        <w:tblInd w:w="-1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707"/>
        <w:gridCol w:w="771"/>
        <w:gridCol w:w="708"/>
        <w:gridCol w:w="993"/>
        <w:gridCol w:w="850"/>
        <w:gridCol w:w="851"/>
        <w:gridCol w:w="850"/>
        <w:gridCol w:w="851"/>
        <w:gridCol w:w="864"/>
      </w:tblGrid>
      <w:tr w:rsidR="00CB31D1" w:rsidRPr="00CB31D1" w:rsidTr="00CB31D1">
        <w:trPr>
          <w:cantSplit/>
          <w:jc w:val="center"/>
        </w:trPr>
        <w:tc>
          <w:tcPr>
            <w:tcW w:w="27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Почвы по гранулометрическому </w:t>
            </w:r>
          </w:p>
          <w:p w:rsidR="00CB31D1" w:rsidRPr="00CB31D1" w:rsidRDefault="00CB31D1" w:rsidP="00CB31D1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6"/>
                <w:szCs w:val="26"/>
                <w:lang w:eastAsia="ru-RU"/>
              </w:rPr>
              <w:t>составу</w:t>
            </w:r>
          </w:p>
        </w:tc>
        <w:tc>
          <w:tcPr>
            <w:tcW w:w="67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100" w:afterAutospacing="1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  <w:lang w:eastAsia="ru-RU"/>
              </w:rPr>
              <w:t>Нуждаемость в известковании</w:t>
            </w:r>
          </w:p>
        </w:tc>
      </w:tr>
      <w:tr w:rsidR="00CB31D1" w:rsidRPr="00CB31D1" w:rsidTr="00CB31D1">
        <w:trPr>
          <w:cantSplit/>
          <w:trHeight w:val="346"/>
          <w:jc w:val="center"/>
        </w:trPr>
        <w:tc>
          <w:tcPr>
            <w:tcW w:w="270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keepNext/>
              <w:keepLines/>
              <w:spacing w:after="100" w:afterAutospacing="1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eastAsia="ru-RU"/>
              </w:rPr>
              <w:t>сильная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1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B31D1" w:rsidRPr="00CB31D1" w:rsidTr="00CB31D1">
        <w:trPr>
          <w:cantSplit/>
          <w:jc w:val="center"/>
        </w:trPr>
        <w:tc>
          <w:tcPr>
            <w:tcW w:w="2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</w:t>
            </w: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,%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</w:pPr>
            <w:r w:rsidRPr="00CB31D1">
              <w:rPr>
                <w:rFonts w:ascii="Times New Roman" w:eastAsiaTheme="minorEastAsia" w:hAnsi="Times New Roman"/>
                <w:b/>
                <w:sz w:val="24"/>
                <w:szCs w:val="24"/>
                <w:lang w:val="en-US" w:eastAsia="ru-RU"/>
              </w:rPr>
              <w:t>V,%</w:t>
            </w:r>
          </w:p>
        </w:tc>
      </w:tr>
      <w:tr w:rsidR="00CB31D1" w:rsidRPr="00CB31D1" w:rsidTr="00CB31D1">
        <w:trPr>
          <w:trHeight w:val="512"/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Тяжело- и среднесуглинистые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65–75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75</w:t>
            </w:r>
          </w:p>
        </w:tc>
      </w:tr>
      <w:tr w:rsidR="00CB31D1" w:rsidRPr="00CB31D1" w:rsidTr="00CB31D1">
        <w:trPr>
          <w:trHeight w:val="438"/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Легкосуглинистые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60–70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70</w:t>
            </w:r>
          </w:p>
        </w:tc>
      </w:tr>
      <w:tr w:rsidR="00CB31D1" w:rsidRPr="00CB31D1" w:rsidTr="00CB31D1">
        <w:trPr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Супесчаные и </w:t>
            </w:r>
          </w:p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песчаные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4,5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4,5–5,0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35–40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5,0–5,5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50–60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5,5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60</w:t>
            </w:r>
          </w:p>
        </w:tc>
      </w:tr>
      <w:tr w:rsidR="00CB31D1" w:rsidRPr="00CB31D1" w:rsidTr="00CB31D1">
        <w:trPr>
          <w:jc w:val="center"/>
        </w:trPr>
        <w:tc>
          <w:tcPr>
            <w:tcW w:w="2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Торфяные и </w:t>
            </w:r>
          </w:p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торфяно-болотные</w:t>
            </w:r>
          </w:p>
        </w:tc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&lt; 3,5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3,5–4,2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35–55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4,2–4,8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55–60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4,8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B31D1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&gt; 65</w:t>
            </w:r>
          </w:p>
        </w:tc>
      </w:tr>
    </w:tbl>
    <w:p w:rsidR="00CB31D1" w:rsidRPr="00CB31D1" w:rsidRDefault="00CB31D1" w:rsidP="00CB31D1">
      <w:pPr>
        <w:widowControl w:val="0"/>
        <w:spacing w:before="240"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Доза извести, необходимая для оптимизации реакции среды устанавливается по величине гидролитической кислотности в т/га. Кроме этого необходимо знать мощность пахотного слоя и его плотность.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Пусть мощность пахотного слоя (Н) равна 20 см, его плотность (</w:t>
      </w: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) – 1,35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, гидролитическая кислотность (Н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Г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) 4,0 мг-экв на 100 г почвы. Так как известь перемешивается со всем пахотным слоем, то необходимо знать сколько в нем содержится ионов водорода на площади 1 га. Сначала находят массу пахотного слоя для этой площади, которую вычисляют по формуле:     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m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(т) = </w:t>
      </w: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b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Н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100.</w:t>
      </w:r>
    </w:p>
    <w:p w:rsidR="00CB31D1" w:rsidRPr="00CB31D1" w:rsidRDefault="00CB31D1" w:rsidP="00CB31D1">
      <w:pPr>
        <w:spacing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В нашем случае вес пахотного слоя будет равен: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m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= 1,35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20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100 = 2700 т.</w:t>
      </w:r>
    </w:p>
    <w:p w:rsidR="00CB31D1" w:rsidRPr="00CB31D1" w:rsidRDefault="00CB31D1" w:rsidP="00CB31D1">
      <w:pPr>
        <w:widowControl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Необходимо определить количество содержащихся в нем ионов Н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. Поскольку в 100 г почвы содержание водорода 4,0 мг-экв или 4 мг, то в 1 кг почвы будут содержаться 40 мг или 0,04 г водорода, а во всем пахотном слое 1 га – 0,04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×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2700000 = 108000 г, или 108 кг обменного водорода.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На нейтрализацию 1 кг водорода требуется 50 кг извести, что вытекает из уравнения химической реакции:</w:t>
      </w:r>
      <w:r w:rsidRPr="00CB31D1">
        <w:rPr>
          <w:rFonts w:ascii="Times New Roman" w:eastAsiaTheme="minorEastAsia" w:hAnsi="Times New Roman"/>
          <w:position w:val="-10"/>
          <w:sz w:val="28"/>
          <w:szCs w:val="28"/>
          <w:lang w:eastAsia="ru-RU"/>
        </w:rPr>
        <w:object w:dxaOrig="180" w:dyaOrig="340">
          <v:shape id="_x0000_i1026" type="#_x0000_t75" style="width:9.15pt;height:17.1pt" o:ole="" fillcolor="window">
            <v:imagedata r:id="rId10" o:title=""/>
          </v:shape>
          <o:OLEObject Type="Embed" ProgID="Equation.3" ShapeID="_x0000_i1026" DrawAspect="Content" ObjectID="_1501319884" r:id="rId11"/>
        </w:objec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2 Н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+  СаСО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=  Са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2+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 +  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  +  СО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2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Следовательно, доза извести составляет: 108 · 50 = 5400 кг, или 5,4 т/га.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Известковые материалы могут содержать инертные примеси и иметь повышенную влажность, что необходимо учитывать при установлении дозы извести.  Окончательная формула для расчета имеет следующий вид: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Para>
        <m:oMath>
          <m:r>
            <m:rPr>
              <m:nor/>
            </m:rPr>
            <w:rPr>
              <w:rFonts w:ascii="Cambria Math" w:eastAsiaTheme="minorEastAsia" w:hAnsi="Cambria Math"/>
              <w:b/>
              <w:sz w:val="28"/>
              <w:szCs w:val="28"/>
              <w:lang w:eastAsia="ru-RU"/>
            </w:rPr>
            <m:t>Д=</m:t>
          </m:r>
          <m:f>
            <m:fPr>
              <m:ctrl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Н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г</m:t>
                  </m:r>
                </m:sub>
              </m:sSub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b/>
                      <w:sz w:val="28"/>
                      <w:szCs w:val="28"/>
                      <w:lang w:eastAsia="ru-RU"/>
                    </w:rPr>
                    <m:t>v</m:t>
                  </m:r>
                </m:sub>
              </m:sSub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×h×500</m:t>
              </m:r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b/>
                  <w:sz w:val="28"/>
                  <w:szCs w:val="28"/>
                  <w:lang w:eastAsia="ru-RU"/>
                </w:rPr>
                <m:t>(100-W)×DB</m:t>
              </m:r>
            </m:den>
          </m:f>
        </m:oMath>
      </m:oMathPara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где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доза извести, т/га;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Г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гидролитическая кислотность, мг–экв/100 г почвы;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</w:t>
      </w:r>
      <w:r w:rsidRPr="00CB31D1">
        <w:rPr>
          <w:rFonts w:ascii="Times New Roman" w:eastAsiaTheme="minorEastAsia" w:hAnsi="Times New Roman"/>
          <w:sz w:val="28"/>
          <w:szCs w:val="28"/>
          <w:vertAlign w:val="subscript"/>
          <w:lang w:val="en-US" w:eastAsia="ru-RU"/>
        </w:rPr>
        <w:t>V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плотность почвы, г/см</w:t>
      </w:r>
      <w:r w:rsidRPr="00CB31D1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3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h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мощность слоя, см;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W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влажность мелиоранта, %; </w:t>
      </w:r>
    </w:p>
    <w:p w:rsidR="00CB31D1" w:rsidRPr="00CB31D1" w:rsidRDefault="00CB31D1" w:rsidP="00CB31D1">
      <w:pPr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val="en-US" w:eastAsia="ru-RU"/>
        </w:rPr>
        <w:t>DB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ab/>
        <w:t>содержание действующего вещества в мелиоранте, %.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/>
          <w:b/>
          <w:sz w:val="18"/>
          <w:szCs w:val="18"/>
          <w:lang w:eastAsia="ru-RU"/>
        </w:rPr>
      </w:pP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Задание для самостоятельной работы:</w:t>
      </w:r>
    </w:p>
    <w:p w:rsidR="00CB31D1" w:rsidRPr="00CB31D1" w:rsidRDefault="00CB31D1" w:rsidP="00CB31D1">
      <w:pPr>
        <w:spacing w:after="0" w:line="240" w:lineRule="auto"/>
        <w:ind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данным </w:t>
      </w:r>
      <w:r w:rsidRPr="00CB31D1">
        <w:rPr>
          <w:rFonts w:ascii="Times New Roman" w:eastAsiaTheme="minorEastAsia" w:hAnsi="Times New Roman"/>
          <w:b/>
          <w:sz w:val="28"/>
          <w:szCs w:val="28"/>
          <w:lang w:eastAsia="ru-RU"/>
        </w:rPr>
        <w:t>приложения 27</w:t>
      </w: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 необходимо:</w:t>
      </w:r>
    </w:p>
    <w:p w:rsidR="00CB31D1" w:rsidRPr="00CB31D1" w:rsidRDefault="00CB31D1" w:rsidP="00CB31D1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Дать агрономическую оценку физико-химическим свойствам почвы.</w:t>
      </w:r>
    </w:p>
    <w:p w:rsidR="00CB31D1" w:rsidRDefault="00CB31D1" w:rsidP="00CB31D1">
      <w:pPr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>Определить потребность почвы в химической мелиорации и если необходимо рассчитать дозу мелиоранта.</w:t>
      </w:r>
    </w:p>
    <w:p w:rsidR="001073C8" w:rsidRPr="00CB31D1" w:rsidRDefault="001073C8" w:rsidP="001073C8">
      <w:pPr>
        <w:spacing w:after="0" w:line="240" w:lineRule="auto"/>
        <w:ind w:left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Default="001073C8" w:rsidP="00CB31D1">
      <w:pPr>
        <w:tabs>
          <w:tab w:val="left" w:pos="3700"/>
        </w:tabs>
        <w:spacing w:before="480" w:after="48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6</w:t>
      </w:r>
      <w:r w:rsidR="00CB31D1" w:rsidRPr="00CB3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АГРОЭКОЛОГИЧЕСКАЯ ОЦЕНКА ПОЧВ ВБЛИЗИ ТРАНСПОРТНЫХ МАГИСТРАЛЕЙ</w:t>
      </w:r>
    </w:p>
    <w:p w:rsidR="001073C8" w:rsidRPr="00CB31D1" w:rsidRDefault="001073C8" w:rsidP="00CB31D1">
      <w:pPr>
        <w:tabs>
          <w:tab w:val="left" w:pos="3700"/>
        </w:tabs>
        <w:spacing w:before="480" w:after="48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Установлено, что на землях, прилегающих к автодорогам, на расстоянии 20 – </w:t>
      </w:r>
      <w:smartTag w:uri="urn:schemas-microsoft-com:office:smarttags" w:element="metricconverter">
        <w:smartTagPr>
          <w:attr w:name="ProductID" w:val="30 м"/>
        </w:smartTagPr>
        <w:r w:rsidRPr="00CB31D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 м</w:t>
        </w:r>
      </w:smartTag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полотна дороги значительно концентрируются  химические элементы: барий, хром, марганец, кобальт, медь. Максимальное накопление свинца, титана, никеля наблюдается на расстоянии 50 м.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В обрабатываемом горизонте черноземных почв фоновое содержащие этих металлов и их ПДК отражает таблица. </w:t>
      </w:r>
    </w:p>
    <w:p w:rsidR="00CB31D1" w:rsidRPr="00CB31D1" w:rsidRDefault="00CB31D1" w:rsidP="00CB31D1">
      <w:pPr>
        <w:tabs>
          <w:tab w:val="left" w:pos="-2694"/>
        </w:tabs>
        <w:spacing w:before="12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–  Содержание и ПДК Ме в черноземных почвах, мг/кг </w:t>
      </w:r>
    </w:p>
    <w:tbl>
      <w:tblPr>
        <w:tblStyle w:val="a9"/>
        <w:tblW w:w="0" w:type="auto"/>
        <w:tblInd w:w="108" w:type="dxa"/>
        <w:tblLook w:val="01E0"/>
      </w:tblPr>
      <w:tblGrid>
        <w:gridCol w:w="2694"/>
        <w:gridCol w:w="708"/>
        <w:gridCol w:w="606"/>
        <w:gridCol w:w="1237"/>
        <w:gridCol w:w="851"/>
        <w:gridCol w:w="1134"/>
        <w:gridCol w:w="567"/>
        <w:gridCol w:w="850"/>
        <w:gridCol w:w="816"/>
      </w:tblGrid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Химический элемент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Ва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Cr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Mn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Со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Cu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Pb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</w:t>
            </w: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i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Ni</w:t>
            </w:r>
          </w:p>
        </w:tc>
      </w:tr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в почвах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4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550 – 900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– 15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 – 30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4000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</w:tr>
      <w:tr w:rsidR="00CB31D1" w:rsidRPr="00CB31D1" w:rsidTr="00CB31D1">
        <w:tc>
          <w:tcPr>
            <w:tcW w:w="269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ПДК в почвах</w:t>
            </w:r>
          </w:p>
        </w:tc>
        <w:tc>
          <w:tcPr>
            <w:tcW w:w="708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200</w:t>
            </w:r>
          </w:p>
        </w:tc>
        <w:tc>
          <w:tcPr>
            <w:tcW w:w="60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123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4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1500</w:t>
            </w:r>
          </w:p>
        </w:tc>
        <w:tc>
          <w:tcPr>
            <w:tcW w:w="851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34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67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5000</w:t>
            </w:r>
          </w:p>
        </w:tc>
        <w:tc>
          <w:tcPr>
            <w:tcW w:w="816" w:type="dxa"/>
            <w:vAlign w:val="center"/>
          </w:tcPr>
          <w:p w:rsidR="00CB31D1" w:rsidRPr="00CB31D1" w:rsidRDefault="00CB31D1" w:rsidP="00CB31D1">
            <w:pPr>
              <w:tabs>
                <w:tab w:val="left" w:pos="3700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</w:tr>
    </w:tbl>
    <w:p w:rsidR="001073C8" w:rsidRDefault="001073C8" w:rsidP="00CB31D1">
      <w:pPr>
        <w:tabs>
          <w:tab w:val="left" w:pos="3700"/>
        </w:tabs>
        <w:spacing w:before="24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tabs>
          <w:tab w:val="left" w:pos="3700"/>
        </w:tabs>
        <w:spacing w:before="240"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установите при агроэкологической оценке почв, какие токсиканты и на каком расстоянии от дорог следует отслеживать прежде всего. </w:t>
      </w:r>
    </w:p>
    <w:p w:rsidR="00CB31D1" w:rsidRPr="00CB31D1" w:rsidRDefault="001073C8" w:rsidP="00CB31D1">
      <w:pPr>
        <w:spacing w:before="480" w:after="480" w:line="240" w:lineRule="auto"/>
        <w:jc w:val="center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РАБОТА 7</w:t>
      </w:r>
      <w:r w:rsidR="00CB31D1" w:rsidRPr="00CB31D1">
        <w:rPr>
          <w:rFonts w:ascii="Times New Roman" w:eastAsia="Times New Roman" w:hAnsi="Times New Roman"/>
          <w:color w:val="000000"/>
          <w:sz w:val="28"/>
          <w:szCs w:val="21"/>
          <w:lang w:eastAsia="ru-RU"/>
        </w:rPr>
        <w:t>. КОНТРОЛЬ НАД ОПОЛЗНЯМИ И ИХ ПРОГНОЗ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Оползни, вызванные хозяйственной деятельностью человека, в основном, связаны с перегрузкой оползневых склонов насыпями и различными инженерными сооружениями, утечкой воды и водопроводных коммуникаций, закрытием выходов подземных вод и др. 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Очень опасны для устойчивости берегов суточные колебания в нижних бьефах ГЭС и зимний расход воды из водохранилищ. В связи с этим важное значение имеют всесторонняя оценка состояния склонов, прогноз последствий проектируемых земляных работ и качественное выполнение инженерно-геологических изысканий.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Большую часть потенциальных оползней можно предотвратить если своевременно принять меры в начальной стадии их развития. Среди различных мероприятий особенно важное значение имеют контроль и прогнозирование оползневых процессов. Они необходимы для расположения обьектов в безопасных местах; своевременного предупреждения возникновения новых или предотвращения опасной величины и скорости смещения уже существующих оползней, выявление необходимости борьбы с оползнями или возможности эксплуатации объектов без укрепления склона.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предотвращения возникновения оползней необходимо организовать контроль за состоянием склонов и соблюдением охранно-противооползневого режима, а так же проводить комплекс противооползневого режима, а так же проводить комплекс противооползневых мероприятий с учётом гидрогеологических условий и характеристики оползневого участка. Необходимые для этого данные наносят на крупномасштабные карты. На них должны быть указаны: устойчивость склонов; возможность производства земных работ; гидрологические условия района; возвышенности и косогоры; месторасположение стоков, дренажных бассейнов, затопляемых участков и распределение подземных вод. На эти же карты наносят места прошлых оползней и районы возможного оползания. К карте прилагается пояснительная записка с подробным описанием оползневого района (участка). Теоретический прогноз оползней достаточно сложный, как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правило, производится специалистами оползневых станций (по данным многолетних наблюдений) и может быть только вероятным.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Принципиальная схема вероятного прогноза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возникновения нового оползня на естественном склоне в заданном районе и в заданный период времени Т</w:t>
      </w: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(по Е.П. Емельянову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) состоит в следующем:</w:t>
      </w:r>
    </w:p>
    <w:p w:rsidR="00CB31D1" w:rsidRPr="00CB31D1" w:rsidRDefault="00CB31D1" w:rsidP="00CB31D1">
      <w:pPr>
        <w:spacing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Получение необходимых данных:</w:t>
      </w:r>
    </w:p>
    <w:p w:rsidR="00CB31D1" w:rsidRPr="00CB31D1" w:rsidRDefault="00CB31D1" w:rsidP="00CB31D1">
      <w:pPr>
        <w:widowControl w:val="0"/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Определяют среднюю годовую величину коэффициента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устойчивости данного склона в настоящее время (т.е. на начало периода Т),  под которым понимают отношение суммарного сопротивления сдвигу вдоль какой либо потенциальной поверхности скольжения к сумме сдвигающих усилий вдоль этой поверхности:</w:t>
      </w:r>
    </w:p>
    <w:p w:rsidR="00CB31D1" w:rsidRPr="00CB31D1" w:rsidRDefault="00CB31D1" w:rsidP="00CB31D1">
      <w:pPr>
        <w:widowControl w:val="0"/>
        <w:spacing w:before="120"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 ∑ С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/ ∑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t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где: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сопротивление сдвигу на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-том участке,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t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 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касательная напряжения, </w:t>
      </w:r>
    </w:p>
    <w:p w:rsidR="00CB31D1" w:rsidRPr="00CB31D1" w:rsidRDefault="00CB31D1" w:rsidP="00CB31D1">
      <w:pPr>
        <w:spacing w:after="0" w:line="240" w:lineRule="auto"/>
        <w:ind w:left="993" w:hanging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Δl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val="en-US" w:eastAsia="ru-RU"/>
        </w:rPr>
        <w:t>i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абсолютная деформация.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среднюю скорость необратимых изменений коэффициента устойчивости склона (за год в настоящее время и ее прогноз на период Т):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Δ 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 ƒ (Т);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Определяют зависимость амплитуды А обратимых колебаний коэффициента устойчивости склона от показателей </w:t>
      </w:r>
      <w:r w:rsidRPr="00CB31D1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соответствующих факторов: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 = ƒ (∑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F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среднюю величину готовой амплитуды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отрицательного отклонения коэффициента устойчивости склона и вероятной максимальной её величины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 период Т.</w:t>
      </w:r>
    </w:p>
    <w:p w:rsidR="00CB31D1" w:rsidRPr="00CB31D1" w:rsidRDefault="00CB31D1" w:rsidP="00CB31D1">
      <w:pPr>
        <w:spacing w:before="120" w:after="12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Анализ данных: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Определяют возможность оползня: конечная средняя готовая величина коэффициента устойчивости склона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прогнозируемого периода Т составит </w:t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= 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– Т × Δ К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&gt;1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оползень маловероятен;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&lt;1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оползень возможен;</w:t>
      </w:r>
    </w:p>
    <w:p w:rsidR="00CB31D1" w:rsidRPr="00CB31D1" w:rsidRDefault="00CB31D1" w:rsidP="00CB31D1">
      <w:p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&lt;1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–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вероятность оползня очень велика;</w:t>
      </w:r>
    </w:p>
    <w:p w:rsidR="00CB31D1" w:rsidRPr="00CB31D1" w:rsidRDefault="00CB31D1" w:rsidP="00CB31D1">
      <w:pPr>
        <w:spacing w:after="0" w:line="240" w:lineRule="auto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Рассчитывают вероятное время t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оп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смещение оползня (лет от начала прогнозируемого периода).  Т.е. наиболее вероятное смещение оползня в период от (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–1)  / ΔК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(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–1)  / ΔК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CB31D1" w:rsidRPr="00CB31D1" w:rsidRDefault="00CB31D1" w:rsidP="00CB31D1">
      <w:pPr>
        <w:spacing w:before="120"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Пример.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Задача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: Определить вероятное время возникновения оползня в горизонтальных склонах.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Исходные данные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Прогнозируемый период Т = 50 лет; значение среднего начального коэффициента устойчивости склона 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1,27; сравнительно равномерный подмыв подошвы склона и сопутствующие процессы обуславливают среднее годовое уменьшение коэффициента его устойчивости Δ К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н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ср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 5 ×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-3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; среднее годовое отрицательное отклонение коэффициента устойчивости склона в результате колебаний его водонасыщения и пригрузки основания наносами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ср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± 3 × 10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-2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максимальное негативное отклонение коэффициента устойчивости склона за 50 лет (соответствующее наиболее неблагоприятному сочетанию факторов в течение года 2%-й обеспеченности) А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 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= – 0,1.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Решение. 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Наиболее вероятное смещение оползня следует ожидать в период от (1,27–0,01–1,0)  / 0,005 до (1,27–0,03–0,1)  / 0,005,  т.е. через 34 – 48 лет. </w:t>
      </w:r>
    </w:p>
    <w:p w:rsidR="00CB31D1" w:rsidRPr="00CB31D1" w:rsidRDefault="00CB31D1" w:rsidP="00CB31D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Следовательно, возведение на этом склоне объекта со сроком амортизации 50 лет и более требует дополнительного проведения противооползневых мероприятий. Тем не менее, временные (рассчитанные на 10 – 15 лет) объекты в настоящее время и ближайшие годы возводить можно.</w:t>
      </w:r>
    </w:p>
    <w:p w:rsidR="00CB31D1" w:rsidRPr="00CB31D1" w:rsidRDefault="00CB31D1" w:rsidP="00CB31D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На практике обычно заблаговременно выявляют условие, изменения которого способно вызвать оползни участка склона, и выполняют все противооползневые мероприятия, повышают устойчивость пород почвы. </w:t>
      </w:r>
    </w:p>
    <w:p w:rsidR="00CB31D1" w:rsidRP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этого в пределах оползневых участков организуют постоянное наблюдение с целью выявления причин возникновения оползневых смещений, изучения их динамики и определения противооползневых мероприятий. Наблюдения ведут специальные посты со специалистами оползневых ситуаций, в задачу которых входит контроль за колебанием уровня воды в колодцах дренажных сооружений, в буровых скважинах, реках, озёрах и водохранилищах; за режимом подземных вод; скоростью и направлением оползневых смещений; выпадением и стоком атмосферных осадков. На наиболее ответственных участках такие посты оборудуют створы глубинных реперов и наблюдают за ними. В качестве реперов используют буровые штанги длинной 2 – 2,5 метра. В  районах глубокого промерзания штанги- реперы устанавливают на глубину до 3 метров и заливают раствором цемента. Особенно внимательно наблюдение за реперами ведут в осенне-весенний период, когда выпадает наибольшее количество осадков (являющихся одной из основных причин возникновения оползней). </w:t>
      </w:r>
    </w:p>
    <w:p w:rsidR="00CB31D1" w:rsidRP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 анализа результатов проведённых наблюдений выявляют оползневые районы и выполняют противооползневые работы на тех участках, где зафиксировано смещение пород.</w:t>
      </w:r>
    </w:p>
    <w:p w:rsidR="00CB31D1" w:rsidRDefault="00CB31D1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ходе настоящей работы на основании полученного индивидуального задания необходимо рассчитать вероятность появления оползня и результаты оформить в виде таблицы.</w:t>
      </w:r>
    </w:p>
    <w:p w:rsidR="001073C8" w:rsidRPr="00CB31D1" w:rsidRDefault="001073C8" w:rsidP="00CB31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122"/>
        <w:tblW w:w="0" w:type="auto"/>
        <w:tblLook w:val="04A0"/>
      </w:tblPr>
      <w:tblGrid>
        <w:gridCol w:w="8613"/>
        <w:gridCol w:w="958"/>
      </w:tblGrid>
      <w:tr w:rsidR="00CB31D1" w:rsidRPr="00CB31D1" w:rsidTr="00CB31D1">
        <w:trPr>
          <w:trHeight w:val="289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rPr>
                <w:b/>
              </w:rPr>
            </w:pPr>
            <w:r w:rsidRPr="00CB31D1">
              <w:rPr>
                <w:b/>
              </w:rPr>
              <w:lastRenderedPageBreak/>
              <w:t>Показатели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Прогнозируемый период </w:t>
            </w:r>
            <w:r w:rsidRPr="00CB31D1">
              <w:rPr>
                <w:b/>
              </w:rPr>
              <w:t>(Т),</w:t>
            </w:r>
            <w:r w:rsidRPr="00CB31D1">
              <w:t xml:space="preserve"> лет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276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Средний начальный коэффициент устойчивости склона  </w:t>
            </w:r>
            <w:r w:rsidRPr="00CB31D1">
              <w:rPr>
                <w:b/>
              </w:rPr>
              <w:t>(К</w:t>
            </w:r>
            <w:r w:rsidRPr="00CB31D1">
              <w:rPr>
                <w:b/>
                <w:vertAlign w:val="superscript"/>
              </w:rPr>
              <w:t>н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/>
        </w:tc>
      </w:tr>
      <w:tr w:rsidR="00CB31D1" w:rsidRPr="00CB31D1" w:rsidTr="00CB31D1">
        <w:trPr>
          <w:cantSplit/>
          <w:trHeight w:val="699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Среднее годовое отклонение коэффициента устойчивости склона </w:t>
            </w:r>
            <w:r w:rsidRPr="00CB31D1">
              <w:rPr>
                <w:b/>
              </w:rPr>
              <w:t>(А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/>
        </w:tc>
      </w:tr>
      <w:tr w:rsidR="00CB31D1" w:rsidRPr="00CB31D1" w:rsidTr="00CB31D1">
        <w:trPr>
          <w:cantSplit/>
          <w:trHeight w:val="695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Максимальное негативное отклонение коэффициента устойчивости склона за Т лет склона </w:t>
            </w:r>
            <w:r w:rsidRPr="00CB31D1">
              <w:rPr>
                <w:b/>
              </w:rPr>
              <w:t>(А</w:t>
            </w:r>
            <w:r w:rsidRPr="00CB31D1">
              <w:rPr>
                <w:b/>
                <w:vertAlign w:val="subscript"/>
              </w:rPr>
              <w:t>max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704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  <w:jc w:val="both"/>
            </w:pPr>
            <w:r w:rsidRPr="00CB31D1">
              <w:t xml:space="preserve">Конечная средняя годовая величина коэффициента устойчивости склона </w:t>
            </w:r>
            <w:r w:rsidRPr="00CB31D1">
              <w:rPr>
                <w:b/>
              </w:rPr>
              <w:t>(К</w:t>
            </w:r>
            <w:r w:rsidRPr="00CB31D1">
              <w:rPr>
                <w:b/>
                <w:vertAlign w:val="superscript"/>
              </w:rPr>
              <w:t>к</w:t>
            </w:r>
            <w:r w:rsidRPr="00CB31D1">
              <w:rPr>
                <w:b/>
                <w:vertAlign w:val="subscript"/>
              </w:rPr>
              <w:t>ср</w:t>
            </w:r>
            <w:r w:rsidRPr="00CB31D1">
              <w:rPr>
                <w:b/>
              </w:rPr>
              <w:t>)</w:t>
            </w:r>
          </w:p>
        </w:tc>
        <w:tc>
          <w:tcPr>
            <w:tcW w:w="958" w:type="dxa"/>
            <w:vAlign w:val="center"/>
          </w:tcPr>
          <w:p w:rsidR="00CB31D1" w:rsidRPr="00CB31D1" w:rsidRDefault="00CB31D1" w:rsidP="00CB31D1">
            <w:pPr>
              <w:rPr>
                <w:sz w:val="24"/>
                <w:szCs w:val="24"/>
              </w:rPr>
            </w:pPr>
          </w:p>
        </w:tc>
      </w:tr>
      <w:tr w:rsidR="00CB31D1" w:rsidRPr="00CB31D1" w:rsidTr="00CB31D1">
        <w:trPr>
          <w:cantSplit/>
          <w:trHeight w:val="420"/>
        </w:trPr>
        <w:tc>
          <w:tcPr>
            <w:tcW w:w="8613" w:type="dxa"/>
            <w:vAlign w:val="center"/>
          </w:tcPr>
          <w:p w:rsidR="00CB31D1" w:rsidRPr="00CB31D1" w:rsidRDefault="00CB31D1" w:rsidP="00CB31D1">
            <w:pPr>
              <w:numPr>
                <w:ilvl w:val="0"/>
                <w:numId w:val="15"/>
              </w:numPr>
              <w:ind w:hanging="436"/>
              <w:contextualSpacing/>
            </w:pPr>
            <w:r w:rsidRPr="00CB31D1">
              <w:t>Вероятность возникновения оползня</w:t>
            </w:r>
          </w:p>
        </w:tc>
        <w:tc>
          <w:tcPr>
            <w:tcW w:w="958" w:type="dxa"/>
          </w:tcPr>
          <w:p w:rsidR="00CB31D1" w:rsidRPr="00CB31D1" w:rsidRDefault="00CB31D1" w:rsidP="00CB31D1">
            <w:pPr>
              <w:jc w:val="both"/>
              <w:rPr>
                <w:sz w:val="24"/>
                <w:szCs w:val="24"/>
              </w:rPr>
            </w:pPr>
          </w:p>
        </w:tc>
      </w:tr>
    </w:tbl>
    <w:p w:rsidR="00CB31D1" w:rsidRPr="00CB31D1" w:rsidRDefault="00CB31D1" w:rsidP="00CB31D1">
      <w:pPr>
        <w:spacing w:before="240" w:after="12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Основные противооползневые мероприятия и борьба с оползнями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Борьба с оползнями основана на обеспечении устойчивости склонов. Общими противооползневыми мероприятиями для оползней всех видов являются: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Отвод поверхностных вод, притекающих к оползневому участку стороны (устройство нагорных канав);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Отвод атмосферных вод с поверхности оползневого участка;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Разгрузка оползневых склонов (откосов ), террасирование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4.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Посадка древесной и кустарниковой растительности в комплексе с посевом многолетних дернообразующих трав на поверхности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5.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Спрямление русел рек и периодически действующих водотоков, подмывающих основание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6.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Берегоукрепление (буны, донные волноломы, струенаправляющие устройства, защитные лесонасаждения и др.) в основании подмываемых оползневых склонов;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7.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Отсыпка (намыв) земляных (песчаных, гравийных, каменных) контрбанкетов у основания оползневых склонов. </w:t>
      </w:r>
    </w:p>
    <w:p w:rsidR="00CB31D1" w:rsidRPr="00CB31D1" w:rsidRDefault="00CB31D1" w:rsidP="00CB31D1">
      <w:pPr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8.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Противооползневые меры механического удержания земляных масс в равновесии включают: перераспределение земляных масс на оползневых склонах (планировку склонов и его террасирование); устройство подпорных стенок: возведение контрбанкетов, контрфорсов, свайных рядов и др.</w:t>
      </w:r>
    </w:p>
    <w:p w:rsidR="00CB31D1" w:rsidRPr="00CB31D1" w:rsidRDefault="00CB31D1" w:rsidP="00CB31D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Подпорные стенки целесообразно устраивать при сравнительно небольших оползнях на склонах при нарушении их устойчивости (подрезки, подмывки, пригрузки и др.). Подпорные стенки, как правило, устанавливаются из сборного железобетона или хорошо обожженного кирпича и камня. Для повышения устойчивости подпорных стенок обычно устраивают застенный дренаж. При расчете подпорных стенок необходимо определить оползневое давление на стенку, а так же временную нагрузку на откос и непосредственно на стенку. </w:t>
      </w:r>
    </w:p>
    <w:p w:rsidR="00CB31D1" w:rsidRPr="00CB31D1" w:rsidRDefault="00CB31D1" w:rsidP="00CB31D1">
      <w:pPr>
        <w:spacing w:line="240" w:lineRule="auto"/>
        <w:jc w:val="both"/>
        <w:rPr>
          <w:rFonts w:eastAsiaTheme="minorEastAsia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ab/>
        <w:t>Контрбанкеты являются довольно эффективно противооползневым мероприятием. Они устраиваются у подошвы действующих или потенциальных оползней и своей массой препятствуют смещению оползневого грунта. Протяженность контрбанкета определяется размерами оползня, ширина и высота – в зависимости от устойчивости оползневой массы. Контрбанкеты, как правило, устраиваются из грунта, а в отдельных случаях – из бутового камня.</w:t>
      </w:r>
    </w:p>
    <w:p w:rsidR="00CB31D1" w:rsidRPr="00CB31D1" w:rsidRDefault="001073C8" w:rsidP="00CB3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РАБОТА 8</w:t>
      </w:r>
      <w:r w:rsidR="00CB31D1"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. ОЦЕНКА АНТРОПОГЕННОЙ НАГРУЗКИ</w:t>
      </w:r>
    </w:p>
    <w:p w:rsidR="00CB31D1" w:rsidRPr="00CB31D1" w:rsidRDefault="00CB31D1" w:rsidP="00CB31D1">
      <w:pPr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Courier New"/>
          <w:color w:val="000000"/>
          <w:sz w:val="28"/>
          <w:szCs w:val="21"/>
          <w:lang w:eastAsia="ru-RU"/>
        </w:rPr>
        <w:t>НА ЗЕМЕЛЬНЫЕ РЕСУРСЫ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mallCaps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Степень антропогенной нагрузки (АН) на земельные ресурсы оценивают с помощью балльной оценки (Кочуров, Иванов,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1987).</w:t>
      </w:r>
    </w:p>
    <w:p w:rsidR="00CB31D1" w:rsidRPr="00CB31D1" w:rsidRDefault="00CB31D1" w:rsidP="00CB31D1">
      <w:pPr>
        <w:autoSpaceDE w:val="0"/>
        <w:autoSpaceDN w:val="0"/>
        <w:adjustRightInd w:val="0"/>
        <w:spacing w:before="240" w:after="0" w:line="240" w:lineRule="auto"/>
        <w:ind w:left="1985" w:hanging="1418"/>
        <w:jc w:val="both"/>
        <w:rPr>
          <w:rFonts w:ascii="Times New Roman" w:eastAsia="Times New Roman" w:hAnsi="Times New Roman" w:cs="Times New Roman"/>
          <w:smallCaps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Таблица 1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–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ab/>
        <w:t>К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лассификация земель по степени антропогенной нагрузки</w:t>
      </w:r>
    </w:p>
    <w:tbl>
      <w:tblPr>
        <w:tblW w:w="9093" w:type="dxa"/>
        <w:jc w:val="center"/>
        <w:tblInd w:w="-5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704"/>
        <w:gridCol w:w="1985"/>
        <w:gridCol w:w="4404"/>
      </w:tblGrid>
      <w:tr w:rsidR="00CB31D1" w:rsidRPr="00CB31D1" w:rsidTr="00CB31D1">
        <w:trPr>
          <w:trHeight w:val="601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Степень АН земель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Балл оценки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Группы земель</w:t>
            </w:r>
          </w:p>
        </w:tc>
      </w:tr>
      <w:tr w:rsidR="00CB31D1" w:rsidRPr="00CB31D1" w:rsidTr="00CB31D1">
        <w:trPr>
          <w:trHeight w:val="569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Высшая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промышленности и инфраструктуры</w:t>
            </w: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Значительная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  <w:t>4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Пашня, многолетние насаждения</w:t>
            </w:r>
          </w:p>
        </w:tc>
      </w:tr>
      <w:tr w:rsidR="00CB31D1" w:rsidRPr="00CB31D1" w:rsidTr="00CB31D1">
        <w:trPr>
          <w:trHeight w:val="370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Средняя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Культурные и улучшенные кормовые угодья</w:t>
            </w:r>
          </w:p>
        </w:tc>
      </w:tr>
      <w:tr w:rsidR="00CB31D1" w:rsidRPr="00CB31D1" w:rsidTr="00CB31D1">
        <w:trPr>
          <w:trHeight w:val="248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Незначительная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mallCaps/>
                <w:sz w:val="28"/>
                <w:lang w:eastAsia="ru-RU"/>
              </w:rPr>
              <w:t>2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Естественные кормовые угодья</w:t>
            </w: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27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Низшая</w:t>
            </w:r>
          </w:p>
        </w:tc>
        <w:tc>
          <w:tcPr>
            <w:tcW w:w="1985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  <w:t>1</w:t>
            </w:r>
          </w:p>
        </w:tc>
        <w:tc>
          <w:tcPr>
            <w:tcW w:w="4404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естественных урочищ</w:t>
            </w:r>
          </w:p>
        </w:tc>
      </w:tr>
    </w:tbl>
    <w:p w:rsidR="00CB31D1" w:rsidRPr="00CB31D1" w:rsidRDefault="00CB31D1" w:rsidP="00CB31D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Оценку эколого-хозяйственного состояния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(ЭХС)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земель проводят посредством коэффициента относительной напряженности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>ЭХС (</w:t>
      </w:r>
      <w:r w:rsidRPr="00CB31D1">
        <w:rPr>
          <w:rFonts w:ascii="Times New Roman" w:eastAsia="Times New Roman" w:hAnsi="Times New Roman" w:cs="Times New Roman"/>
          <w:smallCaps/>
          <w:sz w:val="28"/>
          <w:lang w:val="en-US" w:eastAsia="ru-RU"/>
        </w:rPr>
        <w:t>K</w:t>
      </w:r>
      <w:r w:rsidRPr="00CB31D1">
        <w:rPr>
          <w:rFonts w:ascii="Times New Roman" w:eastAsia="Times New Roman" w:hAnsi="Times New Roman" w:cs="Times New Roman"/>
          <w:smallCaps/>
          <w:sz w:val="28"/>
          <w:vertAlign w:val="subscript"/>
          <w:lang w:eastAsia="ru-RU"/>
        </w:rPr>
        <w:t>эхс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), который определяется по следующей формуле:</w:t>
      </w:r>
    </w:p>
    <w:p w:rsidR="00CB31D1" w:rsidRPr="00CB31D1" w:rsidRDefault="003C01C5" w:rsidP="00CB31D1">
      <w:pPr>
        <w:spacing w:after="0" w:line="240" w:lineRule="auto"/>
        <w:ind w:firstLine="720"/>
        <w:jc w:val="center"/>
        <w:rPr>
          <w:oMath/>
          <w:rFonts w:ascii="Cambria Math" w:eastAsiaTheme="minorEastAsia" w:hAnsi="Cambria Math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nor/>
              </m:r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  <m:t>эхс</m:t>
            </m:r>
          </m:sub>
        </m:sSub>
        <m:r>
          <m:rPr>
            <m:nor/>
          </m:rPr>
          <w:rPr>
            <w:rFonts w:ascii="Cambria Math" w:eastAsiaTheme="minorEastAsia" w:hAnsi="Cambria Math"/>
            <w:b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sz w:val="28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1-2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nor/>
                  </m:rPr>
                  <w:rPr>
                    <w:rFonts w:ascii="Cambria Math" w:eastAsiaTheme="minorEastAsia" w:hAnsi="Cambria Math"/>
                    <w:b/>
                    <w:sz w:val="28"/>
                    <w:szCs w:val="28"/>
                    <w:lang w:eastAsia="ru-RU"/>
                  </w:rPr>
                  <m:t>4-5</m:t>
                </m:r>
              </m:sub>
            </m:sSub>
          </m:den>
        </m:f>
      </m:oMath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>,</w:t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</w:r>
      <w:r w:rsidR="00CB31D1" w:rsidRPr="00CB31D1">
        <w:rPr>
          <w:rFonts w:ascii="Cambria Math" w:eastAsiaTheme="minorEastAsia" w:hAnsi="Cambria Math"/>
          <w:b/>
          <w:sz w:val="28"/>
          <w:szCs w:val="28"/>
          <w:lang w:eastAsia="ru-RU"/>
        </w:rPr>
        <w:tab/>
        <w:t>(1)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где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val="en-US" w:eastAsia="ru-RU"/>
        </w:rPr>
        <w:t>S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1-2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 площади земель с АН в 1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2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балла;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val="en-US" w:eastAsia="ru-RU"/>
        </w:rPr>
        <w:t>S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4-5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 площади земель с АН в 4 и 5 баллов.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Снижение напряженности </w:t>
      </w:r>
      <w:r w:rsidRPr="00CB31D1">
        <w:rPr>
          <w:rFonts w:ascii="Times New Roman" w:eastAsia="Times New Roman" w:hAnsi="Times New Roman" w:cs="Times New Roman"/>
          <w:smallCaps/>
          <w:sz w:val="28"/>
          <w:lang w:eastAsia="ru-RU"/>
        </w:rPr>
        <w:t xml:space="preserve">ЭХС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землепользования (страны, области, края, района, хозяйства) характеризуется увеличением значения 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эхс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, а при 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 xml:space="preserve">эхс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= 1 или близком к 1, ЭХС территории оказывается сбалансированным по степени АН и природной защищенности.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Суммарная площадь земель</w:t>
      </w:r>
      <w:r w:rsidRPr="00CB31D1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экологического фонда (Р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эф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 с учетом антропогенной нагрузки на отдельные группы земель определяется по следующей формуле: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oMath/>
          <w:rFonts w:ascii="Cambria Math" w:eastAsia="Times New Roman" w:hAnsi="Cambria Math" w:cs="Times New Roman"/>
          <w:sz w:val="28"/>
          <w:lang w:eastAsia="ru-RU"/>
        </w:rPr>
      </w:pPr>
      <m:oMath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Р=0,6А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3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+0,8А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2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+А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Н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1</m:t>
            </m:r>
          </m:sub>
        </m:sSub>
      </m:oMath>
      <w:r w:rsidRPr="00CB31D1">
        <w:rPr>
          <w:rFonts w:ascii="Times New Roman" w:eastAsia="Times New Roman" w:hAnsi="Times New Roman" w:cs="Times New Roman"/>
          <w:b/>
          <w:position w:val="-14"/>
          <w:sz w:val="28"/>
          <w:szCs w:val="28"/>
          <w:lang w:eastAsia="ru-RU"/>
        </w:rPr>
        <w:tab/>
      </w:r>
      <w:r w:rsidRPr="00CB31D1">
        <w:rPr>
          <w:rFonts w:ascii="Times New Roman" w:eastAsia="Times New Roman" w:hAnsi="Times New Roman" w:cs="Times New Roman"/>
          <w:b/>
          <w:position w:val="-14"/>
          <w:sz w:val="28"/>
          <w:szCs w:val="28"/>
          <w:lang w:eastAsia="ru-RU"/>
        </w:rPr>
        <w:tab/>
        <w:t>(2)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где АН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1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 -АН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3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площади земель с различной антропогенной нагрузкой (см. таблицу 1).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Коэффициент экологической защищенности территории (К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эз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>) рассчитывается следующим образом:</w:t>
      </w:r>
    </w:p>
    <w:p w:rsidR="00CB31D1" w:rsidRPr="00CB31D1" w:rsidRDefault="003C01C5" w:rsidP="00CB31D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oMath/>
          <w:rFonts w:ascii="Cambria Math" w:eastAsia="Times New Roman" w:hAnsi="Cambria Math" w:cs="Times New Roman"/>
          <w:sz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sSubPr>
          <m:e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К</m:t>
            </m:r>
          </m:e>
          <m:sub>
            <m:r>
              <m:rPr>
                <m:nor/>
              </m:rPr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m:t>эз</m:t>
            </m:r>
          </m:sub>
        </m:sSub>
        <m:r>
          <m:rPr>
            <m:nor/>
          </m:rPr>
          <w:rPr>
            <w:rFonts w:ascii="Times New Roman" w:eastAsia="Times New Roman" w:hAnsi="Times New Roman" w:cs="Times New Roman"/>
            <w:b/>
            <w:sz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эф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i/>
                    <w:sz w:val="28"/>
                    <w:lang w:eastAsia="ru-RU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Р</m:t>
                </m:r>
              </m:e>
              <m:sub>
                <m:r>
                  <m:rPr>
                    <m:nor/>
                  </m:rPr>
                  <w:rPr>
                    <w:rFonts w:ascii="Times New Roman" w:eastAsia="Times New Roman" w:hAnsi="Times New Roman" w:cs="Times New Roman"/>
                    <w:b/>
                    <w:sz w:val="28"/>
                    <w:lang w:eastAsia="ru-RU"/>
                  </w:rPr>
                  <m:t>о</m:t>
                </m:r>
              </m:sub>
            </m:sSub>
          </m:den>
        </m:f>
      </m:oMath>
      <w:r w:rsidR="00CB31D1" w:rsidRPr="00CB31D1">
        <w:rPr>
          <w:rFonts w:ascii="Times New Roman" w:eastAsia="Times New Roman" w:hAnsi="Times New Roman" w:cs="Times New Roman"/>
          <w:b/>
          <w:position w:val="-30"/>
          <w:sz w:val="28"/>
          <w:szCs w:val="28"/>
          <w:lang w:eastAsia="ru-RU"/>
        </w:rPr>
        <w:tab/>
        <w:t xml:space="preserve">                      (3)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где Р</w:t>
      </w:r>
      <w:r w:rsidRPr="00CB31D1">
        <w:rPr>
          <w:rFonts w:ascii="Times New Roman" w:eastAsia="Times New Roman" w:hAnsi="Times New Roman" w:cs="Times New Roman"/>
          <w:sz w:val="28"/>
          <w:vertAlign w:val="subscript"/>
          <w:lang w:eastAsia="ru-RU"/>
        </w:rPr>
        <w:t>о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 xml:space="preserve"> – общая площадь территории.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По состоянию на 1993 г. территорию Российской Федерации ха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softHyphen/>
        <w:t>рактеризовала следующая экспликация земельного фонда:</w:t>
      </w:r>
    </w:p>
    <w:p w:rsidR="00CB31D1" w:rsidRPr="00CB31D1" w:rsidRDefault="00CB31D1" w:rsidP="00CB31D1">
      <w:pPr>
        <w:autoSpaceDE w:val="0"/>
        <w:autoSpaceDN w:val="0"/>
        <w:adjustRightInd w:val="0"/>
        <w:spacing w:before="120" w:after="0" w:line="240" w:lineRule="auto"/>
        <w:ind w:firstLine="567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Таблица 2 –  Структура земельного фонда Российской Федерации</w:t>
      </w:r>
    </w:p>
    <w:tbl>
      <w:tblPr>
        <w:tblW w:w="9197" w:type="dxa"/>
        <w:jc w:val="center"/>
        <w:tblInd w:w="-16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812"/>
        <w:gridCol w:w="1559"/>
        <w:gridCol w:w="1826"/>
      </w:tblGrid>
      <w:tr w:rsidR="00CB31D1" w:rsidRPr="00CB31D1" w:rsidTr="00CB31D1">
        <w:trPr>
          <w:trHeight w:val="400"/>
          <w:jc w:val="center"/>
        </w:trPr>
        <w:tc>
          <w:tcPr>
            <w:tcW w:w="5812" w:type="dxa"/>
            <w:vMerge w:val="restart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Категории земель</w:t>
            </w:r>
          </w:p>
        </w:tc>
        <w:tc>
          <w:tcPr>
            <w:tcW w:w="3385" w:type="dxa"/>
            <w:gridSpan w:val="2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Площадь</w:t>
            </w:r>
          </w:p>
        </w:tc>
      </w:tr>
      <w:tr w:rsidR="00CB31D1" w:rsidRPr="00CB31D1" w:rsidTr="00CB31D1">
        <w:trPr>
          <w:trHeight w:val="529"/>
          <w:jc w:val="center"/>
        </w:trPr>
        <w:tc>
          <w:tcPr>
            <w:tcW w:w="5812" w:type="dxa"/>
            <w:vMerge/>
            <w:vAlign w:val="center"/>
          </w:tcPr>
          <w:p w:rsidR="00CB31D1" w:rsidRPr="00CB31D1" w:rsidRDefault="00CB31D1" w:rsidP="00CB31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млн. га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lang w:eastAsia="ru-RU"/>
              </w:rPr>
              <w:t xml:space="preserve">% </w:t>
            </w:r>
            <w:r w:rsidRPr="00CB31D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к общей площади</w:t>
            </w:r>
          </w:p>
        </w:tc>
      </w:tr>
      <w:tr w:rsidR="00CB31D1" w:rsidRPr="00CB31D1" w:rsidTr="00CB31D1">
        <w:trPr>
          <w:trHeight w:val="562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промышленности, транспорта, связи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18,2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Пашня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132,0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27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Многолетние насаждения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Сенокосы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26,8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Пастбища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62,5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41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Оленьи пастбища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317,8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Залежь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  <w:r w:rsidRPr="00CB31D1"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  <w:t>0,4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2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Болота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109,2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0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лесного фонда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val="en-US"/>
              </w:rPr>
              <w:t>878,3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1D1" w:rsidRPr="00CB31D1" w:rsidTr="00CB31D1">
        <w:trPr>
          <w:trHeight w:val="238"/>
          <w:jc w:val="center"/>
        </w:trPr>
        <w:tc>
          <w:tcPr>
            <w:tcW w:w="5812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Земли природоохранного назначения</w:t>
            </w:r>
          </w:p>
        </w:tc>
        <w:tc>
          <w:tcPr>
            <w:tcW w:w="1559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CB31D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20,7</w:t>
            </w:r>
          </w:p>
        </w:tc>
        <w:tc>
          <w:tcPr>
            <w:tcW w:w="1826" w:type="dxa"/>
            <w:vAlign w:val="center"/>
          </w:tcPr>
          <w:p w:rsidR="00CB31D1" w:rsidRPr="00CB31D1" w:rsidRDefault="00CB31D1" w:rsidP="00CB31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Порядок выполнения работы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1.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По таблице 2 рассчитайте процентное распределение площадей отдельных категорий земель относительно общей площади территории Российской Федерации (1709,6 млн. га).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2.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Объедините категории земель по степени антропогенной нагрузки (по таблице 1). 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Рассчитайте суммы площадей земель (в %) с различной степенью антропогенной нагрузки и определите значение коэффициента относительной напряженности ЭХС земель (по формуле 1).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3.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Определите площадь земель экологического фонда (по формуле 2) и коэффициент экологической защищенности территории (по формуле 3).</w:t>
      </w:r>
    </w:p>
    <w:p w:rsidR="00CB31D1" w:rsidRPr="00CB31D1" w:rsidRDefault="00CB31D1" w:rsidP="00CB31D1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B31D1">
        <w:rPr>
          <w:rFonts w:ascii="Times New Roman" w:eastAsia="Times New Roman" w:hAnsi="Times New Roman" w:cs="Times New Roman"/>
          <w:sz w:val="28"/>
          <w:lang w:eastAsia="ru-RU"/>
        </w:rPr>
        <w:t>4.</w:t>
      </w:r>
      <w:r w:rsidRPr="00CB31D1">
        <w:rPr>
          <w:rFonts w:ascii="Times New Roman" w:eastAsia="Times New Roman" w:hAnsi="Times New Roman" w:cs="Times New Roman"/>
          <w:sz w:val="28"/>
          <w:lang w:eastAsia="ru-RU"/>
        </w:rPr>
        <w:tab/>
        <w:t>Сделайте выводы о степени антропогенной нагрузки на земельные ресурсы Российской Федерации и укажите перспективы достижения сбалансированности по степени АН и природной и ренатурированной защищенности.</w:t>
      </w: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CB31D1" w:rsidRPr="00CB31D1" w:rsidRDefault="00CB31D1" w:rsidP="00CB31D1">
      <w:pPr>
        <w:spacing w:before="480" w:after="480" w:line="24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sectPr w:rsidR="00CB31D1" w:rsidRPr="00CB31D1" w:rsidSect="00CB31D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CB31D1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CB31D1" w:rsidRPr="00CB31D1" w:rsidRDefault="001073C8" w:rsidP="00CB31D1">
      <w:pPr>
        <w:shd w:val="clear" w:color="auto" w:fill="FFFFFF"/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lastRenderedPageBreak/>
        <w:t>Работа №9</w:t>
      </w:r>
      <w:r w:rsidR="00CB31D1" w:rsidRPr="00CB31D1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 Почвенно-агроэкологическое районирование сельскохозяйственных земель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ХАРАКТЕРИСТИКА ПОЧВЕННО-АГРОЭКОЛОГИЧЕСКИХ ПОЯСОВ И ЗОН РФ</w:t>
      </w:r>
    </w:p>
    <w:tbl>
      <w:tblPr>
        <w:tblStyle w:val="13"/>
        <w:tblpPr w:leftFromText="180" w:rightFromText="180" w:vertAnchor="page" w:horzAnchor="margin" w:tblpY="2029"/>
        <w:tblW w:w="15134" w:type="dxa"/>
        <w:tblLayout w:type="fixed"/>
        <w:tblLook w:val="04A0"/>
      </w:tblPr>
      <w:tblGrid>
        <w:gridCol w:w="2376"/>
        <w:gridCol w:w="4253"/>
        <w:gridCol w:w="3118"/>
        <w:gridCol w:w="2268"/>
        <w:gridCol w:w="3119"/>
      </w:tblGrid>
      <w:tr w:rsidR="00CB31D1" w:rsidRPr="00CB31D1" w:rsidTr="00CB31D1">
        <w:tc>
          <w:tcPr>
            <w:tcW w:w="2376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АГРОЭКОЛОГИЧЕСКИЕ ПОЯСА</w:t>
            </w:r>
          </w:p>
        </w:tc>
        <w:tc>
          <w:tcPr>
            <w:tcW w:w="4253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ПОЧВЕННО-АГРОЭКОЛОГИЧЕСКИЕ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ЗОНЫ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ПОЧВЕННО-АГРОЭКОЛОГИЧЕСКИЕ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ПРОВИНЦИИ</w:t>
            </w:r>
          </w:p>
        </w:tc>
        <w:tc>
          <w:tcPr>
            <w:tcW w:w="226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ПОЧВЕННО-АГРОЭКОЛОГИЧЕСКИЕ КАТЕГОРИИ</w:t>
            </w:r>
          </w:p>
        </w:tc>
        <w:tc>
          <w:tcPr>
            <w:tcW w:w="3119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ПРОЦЕССЫ, ЛИМИТИРУЮЩИЕ ПЛОДОРОДИЕ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 МЕЛИОРАТИВНЫЕ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right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</w:tr>
      <w:tr w:rsidR="00CB31D1" w:rsidRPr="00CB31D1" w:rsidTr="00CB31D1"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ПОЯС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ПЕРЕУВЛАЖНЕННЫХ И КИСЛЫХ ПОЧВ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ind w:left="-142" w:right="-108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(ПРЕИМУЩЕСТ</w:t>
            </w: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ВЕННО БОЛОТНЫХ, БОЛОТНО-ПОДЗОЛИСТЫХ И 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ПОДЗО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ЛИСТЫХ)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I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 полярно-тундровая зона с преобладанием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арктических и тундровых переувлажненных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почв. 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2268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для всех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Основными свойствами и процес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сами, лимитирующими плодородие почв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являются переувлажненность в сочетании с кислотностью, в автоморфных условиях локальная эродированность, а на пойменных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землях паводковое затопление. Все процессы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проявляются на фоне низкой теплообеспеченност</w:t>
            </w:r>
            <w:r w:rsidRPr="00CB31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и, дефицит тепла возрастает в направле</w:t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нии с запада на восток.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Комплекс мелиоративных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мероприятий  на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правлен на регулирование теплового и водного режимов почв (снижение увлажнения и повышение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теплобеспеченности), уменьшение кислотности 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почв. На эродированных землях необходимо про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ведение биомелиораций - восстановление лесов</w:t>
            </w:r>
          </w:p>
        </w:tc>
      </w:tr>
      <w:tr w:rsidR="00CB31D1" w:rsidRPr="00CB31D1" w:rsidTr="00CB31D1">
        <w:trPr>
          <w:trHeight w:val="20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А-П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 северо-таежная зона очагового земле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делия и животноводства, с господством переув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лажненных кислых (глееподзолистых и болот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ных), длительно промерзающих и мерзлотных 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почв.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Европейская 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Северо-Восточная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А-П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4</w:t>
            </w:r>
            <w:r w:rsidRPr="00CB31D1">
              <w:rPr>
                <w:rFonts w:ascii="Times New Roman" w:hAnsi="Times New Roman" w:cs="Times New Roman"/>
                <w:sz w:val="23"/>
                <w:szCs w:val="23"/>
              </w:rPr>
              <w:t xml:space="preserve">  – Камчатская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А-Ш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среднетаежная зона мясо-молочного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животноводства и очагового земледелия, с преоб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ладанием переувлажненных и не переувлажнен</w:t>
            </w:r>
            <w:r w:rsidRPr="00CB31D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ных кислых почв (подзолистых и подзолисто-болотных, болотных, мерзлотно-таежных, палевых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мерзлотных), с локальным проявлением эрозии в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автоморфных условиях и засоления - в гидро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морфных.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–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Европейская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2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–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3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right="-108"/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А-Ш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Центрально-Якутская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южнотаежная зона развитого мясо-мо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лочного животноводства и земледелия, с преоб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ладанием кислых непереувлажненных и переув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лажненных почв (дерново-подзолистых, таеж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ных, палевых, глееватых, подзолисто-болотных и болотных), с локальным проявлением эрозии*, засоления, солонцеватости.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Прибалтийская (восточная)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5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Дальневосточно-Сахалинская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A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IV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6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Дальневосточно-Амуро-Уссурийская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419"/>
        </w:trPr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ПОЯС </w:t>
            </w: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ВЫСОКОГУМУСНЫХ ПОЧВ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ДОСТА</w:t>
            </w:r>
            <w:r w:rsidRPr="00CB31D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softHyphen/>
              <w:t xml:space="preserve">ТОЧНОГО ИЛИ НЕДОСТАТОЧНОГО УВЛАЖНЕНИЯ, СРЕДНЕ 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ОБЕСПЕЧЕННЫХ ТЕПЛОМ,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СЛАБОКИСЛЫХ И НЕЙТРАЛЬ</w:t>
            </w:r>
            <w:r w:rsidRPr="00CB31D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softHyphen/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НЫХ, С ГОСПОДСТВОМ СЕРЫХ ЛЕСНЫХ И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ЧЕРНОЗЕМНЫХ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ЭРОДИРОВАННЫХ И ДЕФЛИРОВАННЫХ ПОЧВ,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 ПРОЯВ</w:t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softHyphen/>
            </w: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ЛЕНИЕМ В ГИДРОМОРФНЫХ И ПОЛУГИДРОМОРФНЫХ УС</w:t>
            </w: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  <w:t xml:space="preserve">ЛОВИЯХ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ЗАСОЛЕНИЯ</w:t>
            </w: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И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СОЛОНЦЕВАТОСТИ</w:t>
            </w:r>
          </w:p>
        </w:tc>
        <w:tc>
          <w:tcPr>
            <w:tcW w:w="4253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лесостепная, интенсивного земледе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лия и мясо-молочного животноводства, с господст</w:t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вом высокогумусных и с повышенным содержани</w:t>
            </w:r>
            <w:r w:rsidRPr="00CB31D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ем гумуса почв (черноземы оподзоленные, выще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лоченные, типичные, лугово-черноземные, серые,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бурые лесные), слабокислых и нейтральных, пре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имущественно эродированных, реже дефлирован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ных, с проявлением слитогенеза; в гидроморфных </w:t>
            </w:r>
            <w:r w:rsidRPr="00CB31D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условиях - засоленных, солонцеватых почв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  <w:vertAlign w:val="subscript"/>
              </w:rPr>
              <w:t xml:space="preserve">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для всех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14" w:right="19" w:firstLine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Основными процессами, лимитирующими плодородие почв, являются эрозия и дефляция в автоморфных условиях и за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соление и солонцеватость - в полугидроморфных и гидроморфных, а также периодический дефи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цит влаги.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1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Против эрозии и дефляции основным является комплекс биоме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лиоративных мероприятий. На территориях, подверженных процессам засоления и солонцеватости используют био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мелиорацию (посев соле- и солонцеустойчивых культур), при экономической целесообразности проводят агротехнические и гидротехнические мероприятия</w:t>
            </w:r>
          </w:p>
        </w:tc>
      </w:tr>
      <w:tr w:rsidR="00CB31D1" w:rsidRPr="00CB31D1" w:rsidTr="00CB31D1">
        <w:trPr>
          <w:trHeight w:val="70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spacing w:val="-5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Предуральская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8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 – Западно-Сибирская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9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right="-108" w:hanging="742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4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 xml:space="preserve"> – Сибирско-Предалтайская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96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lang w:val="en-US"/>
              </w:rPr>
              <w:t>V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  <w:vertAlign w:val="subscript"/>
              </w:rPr>
              <w:t>5</w:t>
            </w:r>
            <w:r w:rsidRPr="00CB31D1">
              <w:rPr>
                <w:rFonts w:ascii="Times New Roman" w:hAnsi="Times New Roman" w:cs="Times New Roman"/>
                <w:b/>
                <w:bCs/>
                <w:spacing w:val="-5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5"/>
                <w:sz w:val="23"/>
                <w:szCs w:val="23"/>
              </w:rPr>
              <w:t>Среднесибирская</w:t>
            </w:r>
          </w:p>
        </w:tc>
        <w:tc>
          <w:tcPr>
            <w:tcW w:w="2268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6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31D1" w:rsidRPr="00CB31D1" w:rsidTr="00CB31D1">
        <w:trPr>
          <w:trHeight w:val="277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 степная, интенсивного зернового </w:t>
            </w:r>
            <w:r w:rsidRPr="00CB31D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земледелия и мясо-молочного живoт-нoвoдства с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господством высокогумусных почв, недостаточ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ной влагообеспеченности (черноземы </w:t>
            </w:r>
            <w:r w:rsidRPr="00CB31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быкно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венные, южные, лугово-черно-земные), эродированных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дефлированных, с распространением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гидроморфных и полугидроморфных условно </w:t>
            </w:r>
            <w:r w:rsidRPr="00CB31D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засоленных и засоленных солонцовых (содовых, нейтральных) почв и комплексов с солонцами.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Прибалтийская (восточная)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332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2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Среднерусская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477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3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Западно-Сибирская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513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4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Среднесибирская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563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 xml:space="preserve">5 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>– Дальневосточно-Сахалинская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685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742" w:hanging="742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</w:rPr>
              <w:t>Б-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lang w:val="en-US"/>
              </w:rPr>
              <w:t>VI</w:t>
            </w:r>
            <w:r w:rsidRPr="00CB31D1">
              <w:rPr>
                <w:rFonts w:ascii="Times New Roman" w:hAnsi="Times New Roman" w:cs="Times New Roman"/>
                <w:b/>
                <w:bCs/>
                <w:spacing w:val="-3"/>
                <w:sz w:val="23"/>
                <w:szCs w:val="23"/>
                <w:vertAlign w:val="subscript"/>
              </w:rPr>
              <w:t>6</w:t>
            </w:r>
            <w:r w:rsidRPr="00CB31D1">
              <w:rPr>
                <w:rFonts w:ascii="Times New Roman" w:hAnsi="Times New Roman" w:cs="Times New Roman"/>
                <w:bCs/>
                <w:spacing w:val="-3"/>
                <w:sz w:val="23"/>
                <w:szCs w:val="23"/>
              </w:rPr>
              <w:t xml:space="preserve"> – Дальневосточно-Амуро-Уссурийская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rPr>
          <w:trHeight w:val="857"/>
        </w:trPr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CB3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ПОЯС  ЗАСОЛЕННЫХ И ЗАСОЛЕННО-СОЛОНЦОВЫХ ПОЧВ (НЕЙТРАЛЬНЫХ) НИЗКОЙ ВЛАГООБЕСПЕЧЕННОСТИ, С ПРОЯВЛЕНИЕМ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 xml:space="preserve"> ДЕ</w:t>
            </w:r>
            <w:r w:rsidRPr="00CB31D1">
              <w:rPr>
                <w:rFonts w:ascii="Times New Roman" w:hAnsi="Times New Roman" w:cs="Times New Roman"/>
                <w:sz w:val="20"/>
                <w:szCs w:val="20"/>
              </w:rPr>
              <w:softHyphen/>
              <w:t>ФЛЯЦИИ</w:t>
            </w:r>
          </w:p>
        </w:tc>
        <w:tc>
          <w:tcPr>
            <w:tcW w:w="4253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2"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- сухостепная зона богарного и орошае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мого земледелия, интенсивного животноводства, с широким распространением незасоленных и по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тенциально засоленных (темно-каштановых и ка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  <w:t>штановых), а также засоленно-солонцовых почв (преимущественно нейтрально-засоленных) и их комплексов с солонцами.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ind w:left="884" w:hanging="884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1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Манычско-Донская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4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4"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Пояс В характеризуется резким дефицитом влаги и широким 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развитием двух процессов, лимитирующих плодо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родие почв: засолением и солонцеватостью. Кроме того, широко развит и процесс дефляции.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улучшения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 почв в пределах пояса В и повышения их плодородия может ре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шаться за счет подбора засухоустойчивых, соле- и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солонцеустойчивых культур, а также проведения комплекса агротехнических и гидротехнических мелиорации.</w:t>
            </w:r>
          </w:p>
        </w:tc>
      </w:tr>
      <w:tr w:rsidR="00CB31D1" w:rsidRPr="00CB31D1" w:rsidTr="00CB31D1">
        <w:trPr>
          <w:trHeight w:val="809"/>
        </w:trPr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2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Заволжская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VII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 xml:space="preserve">3 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Казахстанская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 w:val="restart"/>
            <w:vAlign w:val="center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 xml:space="preserve">ПОЯС  ЗАСОЛЕННЫХ И ЗАСОЛЕННО-СОЛОНЦОВЫХ ПОЧВ (НЕЙТРАЛЬНЫХ) НИЗКОЙ ВЛАГООБЕСПЕЧЕННОСТИ, С ПРОЯВЛЕНИЕМ 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7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ДЕФЛЯЦИИ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6" w:right="11"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полупустынная, интенсивного жи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вотноводства и выборочного земледелия, преимущественно орошаемого, с широким распространением засоленных и засоленно-солонцовых почв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(светло-каштановых и бурых полупустынных) и их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комплексов с солонцами, солончаками, значительным распространением дефляции. В пределах зоны выделена одна провинция. </w:t>
            </w:r>
          </w:p>
        </w:tc>
        <w:tc>
          <w:tcPr>
            <w:tcW w:w="3118" w:type="dxa"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2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5" w:right="10"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CB31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полупустынная, интенсивного жи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вотноводства и выборочного орошаемого земледелия, с широким распространением засоленных и засоленно-солонцовых почв </w:t>
            </w:r>
            <w:r w:rsidRPr="00CB31D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(светло-каштановых и бурых полупустынных) и их 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комплексов с солонцами, солончаками, значительным распространением дефляции.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lang w:val="en-US"/>
              </w:rPr>
              <w:t>VIII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b/>
                <w:bCs/>
                <w:spacing w:val="-1"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pacing w:val="-1"/>
                <w:sz w:val="23"/>
                <w:szCs w:val="23"/>
              </w:rPr>
              <w:t>Прикаспийская</w:t>
            </w:r>
          </w:p>
        </w:tc>
        <w:tc>
          <w:tcPr>
            <w:tcW w:w="2268" w:type="dxa"/>
            <w:vMerge w:val="restart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Выделены по ведущему деградационному процессу: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1 – переувлаж</w:t>
            </w: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нённые;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8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2 – кислые не переувлажненные;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284"/>
              <w:jc w:val="both"/>
              <w:rPr>
                <w:rFonts w:ascii="Times New Roman" w:hAnsi="Times New Roman" w:cs="Times New Roman"/>
                <w:spacing w:val="-5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>3 – кислые пе</w:t>
            </w: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реувлажненные;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7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4 – эродированные;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3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7"/>
                <w:sz w:val="23"/>
                <w:szCs w:val="23"/>
              </w:rPr>
              <w:t>5 – дефлирова</w:t>
            </w: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3"/>
                <w:sz w:val="23"/>
                <w:szCs w:val="23"/>
              </w:rPr>
              <w:t>6 – сочетание дефлированных и эродирова</w:t>
            </w: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нных;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6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7 – засоленные;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left="318" w:right="6" w:hanging="318"/>
              <w:jc w:val="both"/>
              <w:rPr>
                <w:rFonts w:ascii="Times New Roman" w:hAnsi="Times New Roman" w:cs="Times New Roman"/>
                <w:spacing w:val="-6"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>8 – засоленно-солонцовые;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pacing w:val="-6"/>
                <w:sz w:val="23"/>
                <w:szCs w:val="23"/>
              </w:rPr>
              <w:t xml:space="preserve">9 – </w:t>
            </w:r>
            <w:r w:rsidRPr="00CB31D1">
              <w:rPr>
                <w:rFonts w:ascii="Times New Roman" w:hAnsi="Times New Roman" w:cs="Times New Roman"/>
                <w:spacing w:val="-5"/>
                <w:sz w:val="23"/>
                <w:szCs w:val="23"/>
              </w:rPr>
              <w:t>пойменные.</w:t>
            </w: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IX</w:t>
            </w: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 xml:space="preserve"> - пустынная, интенсивного животноводства и орошаемого земледелия, с распространением засоленных и дефлированных почв (бурых полупустынных, солончаков, солончаковых солонцов, песков). Характерна дефляция; влагообеспеченность почв крайне низкая.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B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-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IX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  <w:vertAlign w:val="subscript"/>
              </w:rPr>
              <w:t>1</w:t>
            </w:r>
            <w:r w:rsidRPr="00CB31D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– </w:t>
            </w:r>
            <w:r w:rsidRPr="00CB31D1">
              <w:rPr>
                <w:rFonts w:ascii="Times New Roman" w:hAnsi="Times New Roman" w:cs="Times New Roman"/>
                <w:bCs/>
                <w:sz w:val="23"/>
                <w:szCs w:val="23"/>
              </w:rPr>
              <w:t>Арало-Каспийская</w:t>
            </w:r>
          </w:p>
        </w:tc>
        <w:tc>
          <w:tcPr>
            <w:tcW w:w="2268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B31D1" w:rsidRPr="00CB31D1" w:rsidRDefault="00CB31D1" w:rsidP="00CB31D1">
            <w:pPr>
              <w:widowControl w:val="0"/>
              <w:spacing w:line="240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B31D1" w:rsidRPr="00CB31D1" w:rsidTr="00CB31D1">
        <w:tc>
          <w:tcPr>
            <w:tcW w:w="2376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1D1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ГОРНЫЕ</w:t>
            </w:r>
          </w:p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ТЕРРИТОРИИ</w:t>
            </w:r>
          </w:p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0"/>
                <w:szCs w:val="20"/>
              </w:rPr>
              <w:t>ПОЯС ОЧАГОВОГО ЗЕМЛЕДЕЛИЯ</w:t>
            </w:r>
          </w:p>
        </w:tc>
        <w:tc>
          <w:tcPr>
            <w:tcW w:w="4253" w:type="dxa"/>
          </w:tcPr>
          <w:p w:rsidR="00CB31D1" w:rsidRPr="00CB31D1" w:rsidRDefault="00CB31D1" w:rsidP="00CB31D1">
            <w:pPr>
              <w:widowControl w:val="0"/>
              <w:shd w:val="clear" w:color="auto" w:fill="FFFFFF"/>
              <w:spacing w:line="240" w:lineRule="exact"/>
              <w:ind w:right="1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sz w:val="24"/>
                <w:szCs w:val="24"/>
              </w:rPr>
              <w:t>Климат, почвенный покров и факторы, лимитирующие плодородие горных почв, на карте М 1 : 4000000 не дифференцированы из-за малых площадей сельскохозяйственных угодий</w:t>
            </w:r>
          </w:p>
        </w:tc>
        <w:tc>
          <w:tcPr>
            <w:tcW w:w="311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2268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  <w:tc>
          <w:tcPr>
            <w:tcW w:w="3119" w:type="dxa"/>
            <w:vAlign w:val="center"/>
          </w:tcPr>
          <w:p w:rsidR="00CB31D1" w:rsidRPr="00CB31D1" w:rsidRDefault="00CB31D1" w:rsidP="00CB31D1">
            <w:pPr>
              <w:widowControl w:val="0"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1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–––</w:t>
            </w:r>
          </w:p>
        </w:tc>
      </w:tr>
    </w:tbl>
    <w:p w:rsidR="00CB31D1" w:rsidRPr="00CB31D1" w:rsidRDefault="00CB31D1" w:rsidP="00CB31D1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360" w:lineRule="auto"/>
        <w:ind w:right="5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sectPr w:rsidR="00CB31D1" w:rsidRPr="00CB31D1" w:rsidSect="00CB31D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31D1" w:rsidRPr="00CB31D1" w:rsidRDefault="00CB31D1" w:rsidP="00CB31D1">
      <w:pPr>
        <w:shd w:val="clear" w:color="auto" w:fill="FFFFFF"/>
        <w:spacing w:after="0"/>
        <w:ind w:right="31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Карта почвенно-агроэкологического районирования – это основа для разработки комплексных мероприятий по рациональному использованию и улучшению сельскохозяйственных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земель. Анализ материалов, приведенных на карте, позволяет констатировать, что: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категории кислых (не переувлажненных и переувлажненных) почв достигают 100 млн. га;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категории переувлажненных почв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(кислых, нейтральных, без учета пойменных) составляет 19,1 млн. га, или 8,6 % от плошади с.-х. земель;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категория эродированных и дефлированных почв по материалам составителей Почвенно-эрозионной карты (1990), базирующихся на данных Росземпроекта, составляет 63 млн. га (28,7 % с.-х. угодий). Сильная пораженность сельскохозяйственных земель эрози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ей и дефляцией отмечается на Северном Кавказе (более 50 %), в Поволжье (37,5%), на Урале (29 %);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категории засоленных и засоленно-солонцовых почв занимают 39,2 млн. га (18 % с.-х. угодий), при этом собственно засо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ленные почвы составляют 7 %, а засоленно-солонцовые – 11 %; </w:t>
      </w:r>
    </w:p>
    <w:p w:rsidR="00CB31D1" w:rsidRPr="00CB31D1" w:rsidRDefault="00CB31D1" w:rsidP="00CB31D1">
      <w:pPr>
        <w:shd w:val="clear" w:color="auto" w:fill="FFFFFF"/>
        <w:spacing w:after="0"/>
        <w:ind w:left="709" w:right="2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категория пойменных почв составляет 6,6 млн. га (3% с.-х. угодий).</w:t>
      </w:r>
    </w:p>
    <w:p w:rsidR="00CB31D1" w:rsidRPr="00CB31D1" w:rsidRDefault="00CB31D1" w:rsidP="00CB31D1">
      <w:pPr>
        <w:shd w:val="clear" w:color="auto" w:fill="FFFFFF"/>
        <w:spacing w:after="0"/>
        <w:ind w:left="17" w:right="72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Карта почвенно-агроэкологического районирования позволяет обосновать стратегию комплексных мероприятий по рациональному использованию и улучшению сельскохозяйственных</w:t>
      </w:r>
      <w:r w:rsidRPr="00CB31D1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земель, направленных на замедление, ликвидацию деградационных процессов. Она позволяет выявить районы, для</w:t>
      </w:r>
      <w:r w:rsidRPr="00CB31D1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которых основным мелиоративным мероприятием может стать комплекс биомелиораций. Это, прежде всего, территории, подверженные эрозии и дефляции, а также территории, в пределах которых отмечается слабое проявление засоления, солонцеватости, переувлажнения. Районы, где свойства и процессы, лимитирующие плодородие почв, проявляются в сильной степени, нуждаются, как правило, в дорогостоящих комплексных мелиоративных мероприятиях. Затраты на освоение и мелиорацию этих земель требуют предварительного агроэкологического обоснования.</w:t>
      </w:r>
    </w:p>
    <w:p w:rsidR="00CB31D1" w:rsidRP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для самостоятельной работы № 8</w:t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CB31D1" w:rsidRP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на предлагаемой схеме почвенно-агроэкологического районирования РФ с помощью цветового обозначения выделить  почвенно-агроэкологические пояса. </w:t>
      </w:r>
    </w:p>
    <w:p w:rsidR="00CB31D1" w:rsidRPr="00CB31D1" w:rsidRDefault="00CB31D1" w:rsidP="00CB31D1">
      <w:pPr>
        <w:shd w:val="clear" w:color="auto" w:fill="FFFFFF"/>
        <w:spacing w:after="0"/>
        <w:ind w:left="17" w:right="72" w:hanging="1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2.Провести анализ схемы агроэкологического районирования России с указанием основных направлений почвенно - мелиоративных мероприятий .</w:t>
      </w:r>
    </w:p>
    <w:p w:rsidR="00CB31D1" w:rsidRPr="00CB31D1" w:rsidRDefault="00CB31D1" w:rsidP="00CB31D1">
      <w:pPr>
        <w:tabs>
          <w:tab w:val="left" w:pos="-2268"/>
        </w:tabs>
        <w:spacing w:after="0"/>
        <w:ind w:left="709" w:hanging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B31D1"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3590" cy="8054340"/>
            <wp:effectExtent l="19050" t="0" r="381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D1" w:rsidRPr="00CB31D1" w:rsidRDefault="00CB31D1" w:rsidP="00CB31D1">
      <w:pPr>
        <w:shd w:val="clear" w:color="auto" w:fill="FFFFFF"/>
        <w:spacing w:after="0"/>
        <w:ind w:left="2"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Схема почвенно-агроэкологического районирования сельскохозяйственных земель России.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val="en-US" w:eastAsia="ru-RU"/>
        </w:rPr>
        <w:lastRenderedPageBreak/>
        <w:t>I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ab/>
        <w:t xml:space="preserve">границы почвенно-агроэкологических выделов: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1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- поясов,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2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- зон,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3</w:t>
      </w:r>
      <w:r w:rsidRPr="00CB31D1">
        <w:rPr>
          <w:rFonts w:ascii="Times New Roman" w:eastAsiaTheme="minorEastAsia" w:hAnsi="Times New Roman" w:cs="Times New Roman"/>
          <w:i/>
          <w:iCs/>
          <w:spacing w:val="-3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- провинций, </w:t>
      </w:r>
      <w:r w:rsidRPr="00CB31D1">
        <w:rPr>
          <w:rFonts w:ascii="Times New Roman" w:eastAsiaTheme="minorEastAsia" w:hAnsi="Times New Roman" w:cs="Times New Roman"/>
          <w:i/>
          <w:spacing w:val="-3"/>
          <w:sz w:val="28"/>
          <w:szCs w:val="28"/>
          <w:lang w:eastAsia="ru-RU"/>
        </w:rPr>
        <w:t>4</w:t>
      </w:r>
      <w:r w:rsidRPr="00CB31D1">
        <w:rPr>
          <w:rFonts w:ascii="Times New Roman" w:eastAsiaTheme="minorEastAsia" w:hAnsi="Times New Roman" w:cs="Times New Roman"/>
          <w:i/>
          <w:iCs/>
          <w:spacing w:val="-3"/>
          <w:sz w:val="28"/>
          <w:szCs w:val="28"/>
          <w:lang w:eastAsia="ru-RU"/>
        </w:rPr>
        <w:t xml:space="preserve"> - 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горные территории;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3"/>
          <w:sz w:val="28"/>
          <w:szCs w:val="28"/>
          <w:lang w:eastAsia="ru-RU"/>
        </w:rPr>
        <w:t>П</w:t>
      </w:r>
      <w:r w:rsidRPr="00CB31D1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– категории земель по свойствам и процессам,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лимитирующим плодородие почв: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5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кислые;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6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– переувлажненные;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7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эродированные;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8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- дефлированные; </w:t>
      </w:r>
      <w:r w:rsidRPr="00CB31D1">
        <w:rPr>
          <w:rFonts w:ascii="Times New Roman" w:eastAsiaTheme="minorEastAsia" w:hAnsi="Times New Roman" w:cs="Times New Roman"/>
          <w:i/>
          <w:spacing w:val="-2"/>
          <w:sz w:val="28"/>
          <w:szCs w:val="28"/>
          <w:lang w:eastAsia="ru-RU"/>
        </w:rPr>
        <w:t>9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– засоленные (несолонцовые); </w:t>
      </w:r>
      <w:r w:rsidRPr="00CB31D1">
        <w:rPr>
          <w:rFonts w:ascii="Times New Roman" w:eastAsiaTheme="minorEastAsia" w:hAnsi="Times New Roman" w:cs="Times New Roman"/>
          <w:i/>
          <w:iCs/>
          <w:spacing w:val="-2"/>
          <w:sz w:val="28"/>
          <w:szCs w:val="28"/>
          <w:lang w:eastAsia="ru-RU"/>
        </w:rPr>
        <w:t xml:space="preserve">10 </w:t>
      </w:r>
      <w:r w:rsidRPr="00CB31D1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– засоленно-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солонцовые; </w:t>
      </w:r>
      <w:r w:rsidRPr="00CB31D1">
        <w:rPr>
          <w:rFonts w:ascii="Times New Roman" w:eastAsiaTheme="minorEastAsia" w:hAnsi="Times New Roman" w:cs="Times New Roman"/>
          <w:i/>
          <w:iCs/>
          <w:spacing w:val="-5"/>
          <w:sz w:val="28"/>
          <w:szCs w:val="28"/>
          <w:lang w:eastAsia="ru-RU"/>
        </w:rPr>
        <w:t xml:space="preserve">11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– пойменные;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Ш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административное деление России: </w:t>
      </w:r>
      <w:r w:rsidRPr="00CB31D1">
        <w:rPr>
          <w:rFonts w:ascii="Times New Roman" w:eastAsiaTheme="minorEastAsia" w:hAnsi="Times New Roman" w:cs="Times New Roman"/>
          <w:i/>
          <w:iCs/>
          <w:spacing w:val="-5"/>
          <w:sz w:val="28"/>
          <w:szCs w:val="28"/>
          <w:lang w:eastAsia="ru-RU"/>
        </w:rPr>
        <w:t xml:space="preserve">12 -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граница административных областей, краев, республик; </w:t>
      </w: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цифры на схеме соответству</w:t>
      </w:r>
      <w:r w:rsidRPr="00CB31D1">
        <w:rPr>
          <w:rFonts w:ascii="Times New Roman" w:eastAsiaTheme="minorEastAsia" w:hAnsi="Times New Roman" w:cs="Times New Roman"/>
          <w:b/>
          <w:bCs/>
          <w:spacing w:val="-6"/>
          <w:sz w:val="28"/>
          <w:szCs w:val="28"/>
          <w:lang w:eastAsia="ru-RU"/>
        </w:rPr>
        <w:t>ют цифрам, приведенным в скобках ниже.</w:t>
      </w: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" w:firstLine="709"/>
        <w:jc w:val="both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Перечень административных областей (краев, республик) дан с учетом процентного участия сельскохозяйственных зе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мель от общей площади области (края, республики).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2" w:firstLine="709"/>
        <w:jc w:val="both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Сельскохозяйственные земли составляют: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CB31D1">
        <w:rPr>
          <w:rFonts w:ascii="Times New Roman" w:eastAsiaTheme="minorEastAsia" w:hAnsi="Times New Roman" w:cs="Times New Roman"/>
          <w:b/>
          <w:bCs/>
          <w:spacing w:val="-7"/>
          <w:sz w:val="28"/>
          <w:szCs w:val="28"/>
          <w:lang w:eastAsia="ru-RU"/>
        </w:rPr>
        <w:t>&lt;3%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ab/>
        <w:t xml:space="preserve">Архангельская (1), Мурманская (3), Республика Карелия (4), </w:t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Республика Коми (5), Тюменская (59), Хабаровский край (66), Камчатская (68), Магаданская (69), Сахалинская (70), Республика Саха (71);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8"/>
          <w:sz w:val="28"/>
          <w:szCs w:val="28"/>
          <w:lang w:eastAsia="ru-RU"/>
        </w:rPr>
        <w:t>3-10 %</w:t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i/>
          <w:iCs/>
          <w:spacing w:val="-8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Вологодская (2),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Ленинградская (6), Томская (58), Иркутская (61), Республика Бурятия (63), Приморский край (65), Амурская (67);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10-20 %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Новгородская (7), Костромская (15), Пермская (49), Свердловская (50), Читинская (62), Республика Тува (64);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20-30 %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 Псковская (8), Тверская (13), Кировская (23), Кемеровская (55);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30-50 %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>Вла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димирская (11),  Ивановская (12), Калужская (14), Московская (16), Смоленская (19), Ярославская (21), Нижегородская (22), Республика Мари-Эл (24), Удмурт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ская республика (53), Амурская (54), Новосибирская (56), Омская (57); 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50-80 %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– </w:t>
      </w:r>
      <w:r w:rsidRPr="00CB31D1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ab/>
        <w:t xml:space="preserve">Калининградская (9), Брянская (10), Рязанская (18), Тульская (20), Республика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Мордовия (25), Республика Чувашия (26), Белгородская (27), Воронежская (28), Астраханская (32), Волгоградская (33), Самарская (34), Пензенская (35), Улья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softHyphen/>
      </w:r>
      <w:r w:rsidRPr="00CB31D1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новская (37), Республика Калмыкия (38), Республика Татарстан (39), Краснодарский край (40), Ставропольский край (41), Республика Дагестан (43), Кабардино-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>Балкарская (44), Северо-Осетинская (45), Чеченская и Ингушская (46) республики, Курганская (47), Челябинская (51), Республика Башкортостан (52);</w:t>
      </w:r>
    </w:p>
    <w:p w:rsidR="00CB31D1" w:rsidRPr="00CB31D1" w:rsidRDefault="00CB31D1" w:rsidP="00CB31D1">
      <w:pPr>
        <w:shd w:val="clear" w:color="auto" w:fill="FFFFFF"/>
        <w:spacing w:after="0" w:line="240" w:lineRule="auto"/>
        <w:ind w:left="1418" w:hanging="1418"/>
        <w:jc w:val="both"/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</w:pP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>&gt;80 %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 –  </w:t>
      </w:r>
      <w:r w:rsidRPr="00CB31D1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ab/>
      </w:r>
      <w:r w:rsidRPr="00CB31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Орловская (17), Курская (29), Липецкая (30), Тамбовская (31), Саратовская (36), Ростовская (42), Оренбургская (48).</w:t>
      </w:r>
      <w:r w:rsidRPr="00CB31D1">
        <w:rPr>
          <w:rFonts w:ascii="Times New Roman" w:eastAsiaTheme="minorEastAsia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D1" w:rsidRPr="00CB31D1" w:rsidRDefault="00CB31D1" w:rsidP="00CB31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Карта  эколого-геохимических аномалий почв  Краснодарского края</w:t>
      </w: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="Times New Roman" w:hAnsi="Times New Roman"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40145" cy="4259580"/>
            <wp:effectExtent l="19050" t="0" r="34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D1" w:rsidRPr="00CB31D1" w:rsidRDefault="00CB31D1" w:rsidP="00CB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 эрозионного районирования Краснодарского края</w:t>
      </w:r>
    </w:p>
    <w:p w:rsidR="00CB31D1" w:rsidRPr="00CB31D1" w:rsidRDefault="00CB31D1" w:rsidP="00CB31D1">
      <w:pPr>
        <w:spacing w:line="240" w:lineRule="auto"/>
        <w:rPr>
          <w:rFonts w:ascii="Times New Roman" w:eastAsia="Times New Roman" w:hAnsi="Times New Roman"/>
          <w:color w:val="000000"/>
          <w:sz w:val="28"/>
          <w:szCs w:val="21"/>
          <w:lang w:eastAsia="ru-RU"/>
        </w:rPr>
      </w:pPr>
      <w:r w:rsidRPr="00CB31D1">
        <w:rPr>
          <w:rFonts w:ascii="Times New Roman" w:eastAsia="Times New Roman" w:hAnsi="Times New Roman"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39767" cy="4053840"/>
            <wp:effectExtent l="19050" t="0" r="383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1D1" w:rsidRPr="00CB31D1" w:rsidSect="00D81F3C">
      <w:pgSz w:w="11906" w:h="16838"/>
      <w:pgMar w:top="1134" w:right="850" w:bottom="1134" w:left="1701" w:header="708" w:footer="708" w:gutter="0"/>
      <w:pgNumType w:start="2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BCB" w:rsidRDefault="00204BCB" w:rsidP="004A3540">
      <w:pPr>
        <w:spacing w:after="0" w:line="240" w:lineRule="auto"/>
      </w:pPr>
      <w:r>
        <w:separator/>
      </w:r>
    </w:p>
  </w:endnote>
  <w:endnote w:type="continuationSeparator" w:id="0">
    <w:p w:rsidR="00204BCB" w:rsidRDefault="00204BCB" w:rsidP="004A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04" w:rsidRDefault="00A2330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74722"/>
      <w:docPartObj>
        <w:docPartGallery w:val="Page Numbers (Bottom of Page)"/>
        <w:docPartUnique/>
      </w:docPartObj>
    </w:sdtPr>
    <w:sdtContent>
      <w:p w:rsidR="00A23304" w:rsidRDefault="003C01C5">
        <w:pPr>
          <w:pStyle w:val="aa"/>
          <w:jc w:val="center"/>
        </w:pPr>
        <w:fldSimple w:instr=" PAGE   \* MERGEFORMAT ">
          <w:r w:rsidR="00B5525B">
            <w:rPr>
              <w:noProof/>
            </w:rPr>
            <w:t>28</w:t>
          </w:r>
        </w:fldSimple>
      </w:p>
    </w:sdtContent>
  </w:sdt>
  <w:p w:rsidR="00A23304" w:rsidRDefault="00A2330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04" w:rsidRDefault="00A233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BCB" w:rsidRDefault="00204BCB" w:rsidP="004A3540">
      <w:pPr>
        <w:spacing w:after="0" w:line="240" w:lineRule="auto"/>
      </w:pPr>
      <w:r>
        <w:separator/>
      </w:r>
    </w:p>
  </w:footnote>
  <w:footnote w:type="continuationSeparator" w:id="0">
    <w:p w:rsidR="00204BCB" w:rsidRDefault="00204BCB" w:rsidP="004A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04" w:rsidRDefault="00A23304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04" w:rsidRDefault="00A23304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304" w:rsidRDefault="00A23304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495E"/>
    <w:multiLevelType w:val="hybridMultilevel"/>
    <w:tmpl w:val="02F4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72745"/>
    <w:multiLevelType w:val="hybridMultilevel"/>
    <w:tmpl w:val="44F4D9D0"/>
    <w:lvl w:ilvl="0" w:tplc="29B8D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AD576A"/>
    <w:multiLevelType w:val="hybridMultilevel"/>
    <w:tmpl w:val="6A76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B48A6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7D4571"/>
    <w:multiLevelType w:val="hybridMultilevel"/>
    <w:tmpl w:val="AB8CD0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5B6DAA"/>
    <w:multiLevelType w:val="hybridMultilevel"/>
    <w:tmpl w:val="094AA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01401"/>
    <w:multiLevelType w:val="hybridMultilevel"/>
    <w:tmpl w:val="4836ADFA"/>
    <w:lvl w:ilvl="0" w:tplc="F990A97A">
      <w:start w:val="1"/>
      <w:numFmt w:val="decimal"/>
      <w:lvlText w:val="%1)"/>
      <w:lvlJc w:val="left"/>
      <w:pPr>
        <w:ind w:left="941" w:hanging="6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7">
    <w:nsid w:val="2C0D1B39"/>
    <w:multiLevelType w:val="hybridMultilevel"/>
    <w:tmpl w:val="40EE7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C0C53"/>
    <w:multiLevelType w:val="hybridMultilevel"/>
    <w:tmpl w:val="6CFEBA40"/>
    <w:lvl w:ilvl="0" w:tplc="31DC1A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14D00FA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44576"/>
    <w:multiLevelType w:val="hybridMultilevel"/>
    <w:tmpl w:val="1A8C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E4CB2"/>
    <w:multiLevelType w:val="hybridMultilevel"/>
    <w:tmpl w:val="E0E07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3E7204"/>
    <w:multiLevelType w:val="hybridMultilevel"/>
    <w:tmpl w:val="0C36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548BF"/>
    <w:multiLevelType w:val="hybridMultilevel"/>
    <w:tmpl w:val="C57CC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06D91"/>
    <w:multiLevelType w:val="hybridMultilevel"/>
    <w:tmpl w:val="118C7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8E2A11"/>
    <w:multiLevelType w:val="hybridMultilevel"/>
    <w:tmpl w:val="85B04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B5554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FD667C"/>
    <w:multiLevelType w:val="hybridMultilevel"/>
    <w:tmpl w:val="85E8BADA"/>
    <w:lvl w:ilvl="0" w:tplc="BF640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977EB2"/>
    <w:multiLevelType w:val="hybridMultilevel"/>
    <w:tmpl w:val="5B8466FC"/>
    <w:lvl w:ilvl="0" w:tplc="4A645A5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>
    <w:nsid w:val="5BF35379"/>
    <w:multiLevelType w:val="hybridMultilevel"/>
    <w:tmpl w:val="4644F95E"/>
    <w:lvl w:ilvl="0" w:tplc="42948CF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0">
    <w:nsid w:val="5F881EF7"/>
    <w:multiLevelType w:val="hybridMultilevel"/>
    <w:tmpl w:val="C224755C"/>
    <w:lvl w:ilvl="0" w:tplc="C47A07FC">
      <w:start w:val="1"/>
      <w:numFmt w:val="decimal"/>
      <w:lvlText w:val="%1)"/>
      <w:lvlJc w:val="left"/>
      <w:pPr>
        <w:ind w:left="6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21">
    <w:nsid w:val="5F9A6A5C"/>
    <w:multiLevelType w:val="hybridMultilevel"/>
    <w:tmpl w:val="EF5081C8"/>
    <w:lvl w:ilvl="0" w:tplc="60AACB46">
      <w:start w:val="1"/>
      <w:numFmt w:val="decimal"/>
      <w:lvlText w:val="%1."/>
      <w:lvlJc w:val="left"/>
      <w:pPr>
        <w:ind w:left="6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>
    <w:nsid w:val="63323ADD"/>
    <w:multiLevelType w:val="hybridMultilevel"/>
    <w:tmpl w:val="7AB870D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917CE"/>
    <w:multiLevelType w:val="hybridMultilevel"/>
    <w:tmpl w:val="612AFDA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0C176D"/>
    <w:multiLevelType w:val="multilevel"/>
    <w:tmpl w:val="0419001D"/>
    <w:styleLink w:val="1"/>
    <w:lvl w:ilvl="0">
      <w:start w:val="1"/>
      <w:numFmt w:val="bullet"/>
      <w:pStyle w:val="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72AC079E"/>
    <w:multiLevelType w:val="hybridMultilevel"/>
    <w:tmpl w:val="2F5ADDB2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8EC6D3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8372779"/>
    <w:multiLevelType w:val="hybridMultilevel"/>
    <w:tmpl w:val="5CF22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A169B"/>
    <w:multiLevelType w:val="hybridMultilevel"/>
    <w:tmpl w:val="4094D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3"/>
  </w:num>
  <w:num w:numId="4">
    <w:abstractNumId w:val="3"/>
  </w:num>
  <w:num w:numId="5">
    <w:abstractNumId w:val="17"/>
  </w:num>
  <w:num w:numId="6">
    <w:abstractNumId w:val="14"/>
  </w:num>
  <w:num w:numId="7">
    <w:abstractNumId w:val="19"/>
  </w:num>
  <w:num w:numId="8">
    <w:abstractNumId w:val="15"/>
  </w:num>
  <w:num w:numId="9">
    <w:abstractNumId w:val="18"/>
  </w:num>
  <w:num w:numId="10">
    <w:abstractNumId w:val="5"/>
  </w:num>
  <w:num w:numId="11">
    <w:abstractNumId w:val="8"/>
  </w:num>
  <w:num w:numId="12">
    <w:abstractNumId w:val="22"/>
  </w:num>
  <w:num w:numId="13">
    <w:abstractNumId w:val="16"/>
  </w:num>
  <w:num w:numId="14">
    <w:abstractNumId w:val="13"/>
  </w:num>
  <w:num w:numId="15">
    <w:abstractNumId w:val="12"/>
  </w:num>
  <w:num w:numId="16">
    <w:abstractNumId w:val="26"/>
  </w:num>
  <w:num w:numId="17">
    <w:abstractNumId w:val="10"/>
  </w:num>
  <w:num w:numId="18">
    <w:abstractNumId w:val="11"/>
  </w:num>
  <w:num w:numId="19">
    <w:abstractNumId w:val="27"/>
  </w:num>
  <w:num w:numId="20">
    <w:abstractNumId w:val="4"/>
  </w:num>
  <w:num w:numId="21">
    <w:abstractNumId w:val="7"/>
  </w:num>
  <w:num w:numId="22">
    <w:abstractNumId w:val="25"/>
  </w:num>
  <w:num w:numId="23">
    <w:abstractNumId w:val="1"/>
  </w:num>
  <w:num w:numId="24">
    <w:abstractNumId w:val="0"/>
  </w:num>
  <w:num w:numId="25">
    <w:abstractNumId w:val="2"/>
  </w:num>
  <w:num w:numId="26">
    <w:abstractNumId w:val="6"/>
  </w:num>
  <w:num w:numId="27">
    <w:abstractNumId w:val="2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52C93"/>
    <w:rsid w:val="000C7ABE"/>
    <w:rsid w:val="001073C8"/>
    <w:rsid w:val="00204BCB"/>
    <w:rsid w:val="002405EA"/>
    <w:rsid w:val="003C01C5"/>
    <w:rsid w:val="003E46FC"/>
    <w:rsid w:val="00495327"/>
    <w:rsid w:val="004A3540"/>
    <w:rsid w:val="00725156"/>
    <w:rsid w:val="0073613F"/>
    <w:rsid w:val="00746D99"/>
    <w:rsid w:val="007A4B19"/>
    <w:rsid w:val="008436F1"/>
    <w:rsid w:val="008856D0"/>
    <w:rsid w:val="008E643B"/>
    <w:rsid w:val="00927FCB"/>
    <w:rsid w:val="00972E6E"/>
    <w:rsid w:val="00A23304"/>
    <w:rsid w:val="00A37301"/>
    <w:rsid w:val="00A95838"/>
    <w:rsid w:val="00AC1F77"/>
    <w:rsid w:val="00B52C93"/>
    <w:rsid w:val="00B5525B"/>
    <w:rsid w:val="00B9302A"/>
    <w:rsid w:val="00BF688A"/>
    <w:rsid w:val="00CB31D1"/>
    <w:rsid w:val="00CC6A69"/>
    <w:rsid w:val="00CE4067"/>
    <w:rsid w:val="00D81F3C"/>
    <w:rsid w:val="00DB204F"/>
    <w:rsid w:val="00DE3F86"/>
    <w:rsid w:val="00E52EDC"/>
    <w:rsid w:val="00E72EEF"/>
    <w:rsid w:val="00EA5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5EA"/>
  </w:style>
  <w:style w:type="paragraph" w:styleId="10">
    <w:name w:val="heading 1"/>
    <w:basedOn w:val="a0"/>
    <w:next w:val="a0"/>
    <w:link w:val="11"/>
    <w:qFormat/>
    <w:rsid w:val="0073613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7361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0"/>
    <w:next w:val="a0"/>
    <w:link w:val="30"/>
    <w:qFormat/>
    <w:rsid w:val="0073613F"/>
    <w:pPr>
      <w:keepNext/>
      <w:shd w:val="clear" w:color="auto" w:fill="FFFFFF"/>
      <w:spacing w:after="0" w:line="360" w:lineRule="auto"/>
      <w:ind w:firstLine="72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73613F"/>
    <w:pPr>
      <w:keepNext/>
      <w:shd w:val="clear" w:color="auto" w:fill="FFFFFF"/>
      <w:spacing w:after="0" w:line="360" w:lineRule="auto"/>
      <w:ind w:firstLine="720"/>
      <w:jc w:val="right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73613F"/>
    <w:pPr>
      <w:keepNext/>
      <w:spacing w:after="0" w:line="36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73613F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73613F"/>
    <w:pPr>
      <w:keepNext/>
      <w:spacing w:after="0" w:line="360" w:lineRule="auto"/>
      <w:ind w:firstLine="709"/>
      <w:jc w:val="right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73613F"/>
    <w:pPr>
      <w:keepNext/>
      <w:spacing w:after="0" w:line="360" w:lineRule="auto"/>
      <w:ind w:firstLine="709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73613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73613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7361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73613F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1"/>
    <w:link w:val="4"/>
    <w:rsid w:val="0073613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73613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73613F"/>
  </w:style>
  <w:style w:type="paragraph" w:styleId="a4">
    <w:name w:val="Title"/>
    <w:basedOn w:val="a0"/>
    <w:link w:val="a5"/>
    <w:qFormat/>
    <w:rsid w:val="0073613F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1"/>
    <w:link w:val="a4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0"/>
    <w:uiPriority w:val="34"/>
    <w:qFormat/>
    <w:rsid w:val="007361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rsid w:val="0073613F"/>
    <w:pPr>
      <w:numPr>
        <w:numId w:val="1"/>
      </w:numPr>
    </w:pPr>
  </w:style>
  <w:style w:type="paragraph" w:customStyle="1" w:styleId="a">
    <w:name w:val="список с точками"/>
    <w:basedOn w:val="a0"/>
    <w:rsid w:val="0073613F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73613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uiPriority w:val="99"/>
    <w:semiHidden/>
    <w:rsid w:val="0073613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736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0"/>
    <w:link w:val="ab"/>
    <w:uiPriority w:val="99"/>
    <w:unhideWhenUsed/>
    <w:rsid w:val="0073613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1"/>
    <w:link w:val="aa"/>
    <w:uiPriority w:val="99"/>
    <w:rsid w:val="0073613F"/>
    <w:rPr>
      <w:rFonts w:eastAsiaTheme="minorEastAsia"/>
      <w:lang w:eastAsia="ru-RU"/>
    </w:rPr>
  </w:style>
  <w:style w:type="table" w:customStyle="1" w:styleId="13">
    <w:name w:val="Сетка таблицы1"/>
    <w:basedOn w:val="a2"/>
    <w:next w:val="a9"/>
    <w:uiPriority w:val="59"/>
    <w:rsid w:val="007361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semiHidden/>
    <w:unhideWhenUsed/>
    <w:rsid w:val="0073613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Верхний колонтитул Знак"/>
    <w:basedOn w:val="a1"/>
    <w:link w:val="ac"/>
    <w:semiHidden/>
    <w:rsid w:val="0073613F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73613F"/>
  </w:style>
  <w:style w:type="character" w:customStyle="1" w:styleId="FontStyle76">
    <w:name w:val="Font Style76"/>
    <w:basedOn w:val="a1"/>
    <w:uiPriority w:val="99"/>
    <w:rsid w:val="0073613F"/>
    <w:rPr>
      <w:rFonts w:ascii="Courier New" w:hAnsi="Courier New" w:cs="Courier New"/>
      <w:spacing w:val="-20"/>
      <w:sz w:val="18"/>
      <w:szCs w:val="18"/>
    </w:rPr>
  </w:style>
  <w:style w:type="paragraph" w:customStyle="1" w:styleId="Style1">
    <w:name w:val="Style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73613F"/>
    <w:rPr>
      <w:rFonts w:ascii="Courier New" w:hAnsi="Courier New" w:cs="Courier New"/>
      <w:b/>
      <w:bCs/>
      <w:spacing w:val="-20"/>
      <w:sz w:val="18"/>
      <w:szCs w:val="18"/>
    </w:rPr>
  </w:style>
  <w:style w:type="paragraph" w:customStyle="1" w:styleId="Style5">
    <w:name w:val="Style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6">
    <w:name w:val="Style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79">
    <w:name w:val="Font Style79"/>
    <w:basedOn w:val="a1"/>
    <w:uiPriority w:val="99"/>
    <w:rsid w:val="0073613F"/>
    <w:rPr>
      <w:rFonts w:ascii="Book Antiqua" w:hAnsi="Book Antiqua" w:cs="Book Antiqua"/>
      <w:smallCaps/>
      <w:sz w:val="16"/>
      <w:szCs w:val="16"/>
    </w:rPr>
  </w:style>
  <w:style w:type="paragraph" w:customStyle="1" w:styleId="Style3">
    <w:name w:val="Style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1">
    <w:name w:val="Font Style101"/>
    <w:basedOn w:val="a1"/>
    <w:uiPriority w:val="99"/>
    <w:rsid w:val="0073613F"/>
    <w:rPr>
      <w:rFonts w:ascii="Book Antiqua" w:hAnsi="Book Antiqua" w:cs="Book Antiqua"/>
      <w:b/>
      <w:bCs/>
      <w:spacing w:val="-20"/>
      <w:sz w:val="22"/>
      <w:szCs w:val="22"/>
    </w:rPr>
  </w:style>
  <w:style w:type="character" w:customStyle="1" w:styleId="FontStyle104">
    <w:name w:val="Font Style104"/>
    <w:basedOn w:val="a1"/>
    <w:uiPriority w:val="99"/>
    <w:rsid w:val="0073613F"/>
    <w:rPr>
      <w:rFonts w:ascii="Candara" w:hAnsi="Candara" w:cs="Candara"/>
      <w:sz w:val="16"/>
      <w:szCs w:val="16"/>
    </w:rPr>
  </w:style>
  <w:style w:type="paragraph" w:customStyle="1" w:styleId="Style20">
    <w:name w:val="Style2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0">
    <w:name w:val="Font Style80"/>
    <w:basedOn w:val="a1"/>
    <w:uiPriority w:val="99"/>
    <w:rsid w:val="0073613F"/>
    <w:rPr>
      <w:rFonts w:ascii="Palatino Linotype" w:hAnsi="Palatino Linotype" w:cs="Palatino Linotype"/>
      <w:b/>
      <w:bCs/>
      <w:i/>
      <w:iCs/>
      <w:sz w:val="16"/>
      <w:szCs w:val="16"/>
    </w:rPr>
  </w:style>
  <w:style w:type="character" w:customStyle="1" w:styleId="FontStyle89">
    <w:name w:val="Font Style89"/>
    <w:basedOn w:val="a1"/>
    <w:uiPriority w:val="99"/>
    <w:rsid w:val="0073613F"/>
    <w:rPr>
      <w:rFonts w:ascii="Candara" w:hAnsi="Candara" w:cs="Candara"/>
      <w:spacing w:val="10"/>
      <w:sz w:val="18"/>
      <w:szCs w:val="18"/>
    </w:rPr>
  </w:style>
  <w:style w:type="paragraph" w:customStyle="1" w:styleId="Style27">
    <w:name w:val="Style2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2">
    <w:name w:val="Font Style82"/>
    <w:basedOn w:val="a1"/>
    <w:uiPriority w:val="99"/>
    <w:rsid w:val="0073613F"/>
    <w:rPr>
      <w:rFonts w:ascii="Courier New" w:hAnsi="Courier New" w:cs="Courier New"/>
      <w:i/>
      <w:iCs/>
      <w:sz w:val="22"/>
      <w:szCs w:val="22"/>
    </w:rPr>
  </w:style>
  <w:style w:type="character" w:customStyle="1" w:styleId="FontStyle81">
    <w:name w:val="Font Style81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31">
    <w:name w:val="Style3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3">
    <w:name w:val="Font Style103"/>
    <w:basedOn w:val="a1"/>
    <w:uiPriority w:val="99"/>
    <w:rsid w:val="0073613F"/>
    <w:rPr>
      <w:rFonts w:ascii="Courier New" w:hAnsi="Courier New" w:cs="Courier New"/>
      <w:i/>
      <w:iCs/>
      <w:spacing w:val="60"/>
      <w:sz w:val="18"/>
      <w:szCs w:val="18"/>
    </w:rPr>
  </w:style>
  <w:style w:type="paragraph" w:customStyle="1" w:styleId="Style32">
    <w:name w:val="Style3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8">
    <w:name w:val="Style3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3">
    <w:name w:val="Font Style83"/>
    <w:basedOn w:val="a1"/>
    <w:uiPriority w:val="99"/>
    <w:rsid w:val="0073613F"/>
    <w:rPr>
      <w:rFonts w:ascii="Palatino Linotype" w:hAnsi="Palatino Linotype" w:cs="Palatino Linotype"/>
      <w:spacing w:val="20"/>
      <w:sz w:val="20"/>
      <w:szCs w:val="20"/>
    </w:rPr>
  </w:style>
  <w:style w:type="character" w:customStyle="1" w:styleId="FontStyle93">
    <w:name w:val="Font Style93"/>
    <w:basedOn w:val="a1"/>
    <w:uiPriority w:val="99"/>
    <w:rsid w:val="0073613F"/>
    <w:rPr>
      <w:rFonts w:ascii="Book Antiqua" w:hAnsi="Book Antiqua" w:cs="Book Antiqua"/>
      <w:b/>
      <w:bCs/>
      <w:i/>
      <w:iCs/>
      <w:spacing w:val="80"/>
      <w:sz w:val="16"/>
      <w:szCs w:val="16"/>
    </w:rPr>
  </w:style>
  <w:style w:type="character" w:customStyle="1" w:styleId="FontStyle84">
    <w:name w:val="Font Style84"/>
    <w:basedOn w:val="a1"/>
    <w:uiPriority w:val="99"/>
    <w:rsid w:val="0073613F"/>
    <w:rPr>
      <w:rFonts w:ascii="Book Antiqua" w:hAnsi="Book Antiqua" w:cs="Book Antiqua"/>
      <w:i/>
      <w:iCs/>
      <w:spacing w:val="10"/>
      <w:sz w:val="16"/>
      <w:szCs w:val="16"/>
    </w:rPr>
  </w:style>
  <w:style w:type="character" w:customStyle="1" w:styleId="FontStyle85">
    <w:name w:val="Font Style85"/>
    <w:basedOn w:val="a1"/>
    <w:uiPriority w:val="99"/>
    <w:rsid w:val="0073613F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5">
    <w:name w:val="Style3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4">
    <w:name w:val="Style4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6">
    <w:name w:val="Font Style86"/>
    <w:basedOn w:val="a1"/>
    <w:uiPriority w:val="99"/>
    <w:rsid w:val="0073613F"/>
    <w:rPr>
      <w:rFonts w:ascii="Palatino Linotype" w:hAnsi="Palatino Linotype" w:cs="Palatino Linotype"/>
      <w:b/>
      <w:bCs/>
      <w:sz w:val="28"/>
      <w:szCs w:val="28"/>
    </w:rPr>
  </w:style>
  <w:style w:type="paragraph" w:customStyle="1" w:styleId="Style46">
    <w:name w:val="Style4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73613F"/>
    <w:rPr>
      <w:rFonts w:ascii="Courier New" w:hAnsi="Courier New" w:cs="Courier New"/>
      <w:spacing w:val="-10"/>
      <w:sz w:val="18"/>
      <w:szCs w:val="18"/>
    </w:rPr>
  </w:style>
  <w:style w:type="paragraph" w:customStyle="1" w:styleId="Style48">
    <w:name w:val="Style4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6">
    <w:name w:val="Style5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0">
    <w:name w:val="Style7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2">
    <w:name w:val="Style7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2">
    <w:name w:val="Font Style112"/>
    <w:basedOn w:val="a1"/>
    <w:uiPriority w:val="99"/>
    <w:rsid w:val="0073613F"/>
    <w:rPr>
      <w:rFonts w:ascii="Courier New" w:hAnsi="Courier New" w:cs="Courier New"/>
      <w:b/>
      <w:bCs/>
      <w:sz w:val="14"/>
      <w:szCs w:val="14"/>
    </w:rPr>
  </w:style>
  <w:style w:type="character" w:customStyle="1" w:styleId="FontStyle108">
    <w:name w:val="Font Style108"/>
    <w:basedOn w:val="a1"/>
    <w:uiPriority w:val="99"/>
    <w:rsid w:val="0073613F"/>
    <w:rPr>
      <w:rFonts w:ascii="Courier New" w:hAnsi="Courier New" w:cs="Courier New"/>
      <w:spacing w:val="-20"/>
      <w:sz w:val="20"/>
      <w:szCs w:val="20"/>
    </w:rPr>
  </w:style>
  <w:style w:type="paragraph" w:customStyle="1" w:styleId="Style57">
    <w:name w:val="Style5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5">
    <w:name w:val="Style5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2">
    <w:name w:val="Style6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7">
    <w:name w:val="Style6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8">
    <w:name w:val="Style6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1">
    <w:name w:val="Style7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3">
    <w:name w:val="Style7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3">
    <w:name w:val="Font Style113"/>
    <w:basedOn w:val="a1"/>
    <w:uiPriority w:val="99"/>
    <w:rsid w:val="0073613F"/>
    <w:rPr>
      <w:rFonts w:ascii="Courier New" w:hAnsi="Courier New" w:cs="Courier New"/>
      <w:sz w:val="20"/>
      <w:szCs w:val="20"/>
    </w:rPr>
  </w:style>
  <w:style w:type="paragraph" w:customStyle="1" w:styleId="Style59">
    <w:name w:val="Style5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88">
    <w:name w:val="Font Style88"/>
    <w:basedOn w:val="a1"/>
    <w:uiPriority w:val="99"/>
    <w:rsid w:val="0073613F"/>
    <w:rPr>
      <w:rFonts w:ascii="Cambria" w:hAnsi="Cambria" w:cs="Cambria"/>
      <w:sz w:val="22"/>
      <w:szCs w:val="22"/>
    </w:rPr>
  </w:style>
  <w:style w:type="paragraph" w:customStyle="1" w:styleId="Style45">
    <w:name w:val="Style4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0">
    <w:name w:val="Font Style90"/>
    <w:basedOn w:val="a1"/>
    <w:uiPriority w:val="99"/>
    <w:rsid w:val="0073613F"/>
    <w:rPr>
      <w:rFonts w:ascii="Arial" w:hAnsi="Arial" w:cs="Arial"/>
      <w:b/>
      <w:bCs/>
      <w:i/>
      <w:iCs/>
      <w:spacing w:val="-20"/>
      <w:sz w:val="16"/>
      <w:szCs w:val="16"/>
    </w:rPr>
  </w:style>
  <w:style w:type="paragraph" w:customStyle="1" w:styleId="Style36">
    <w:name w:val="Style3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1">
    <w:name w:val="Font Style91"/>
    <w:basedOn w:val="a1"/>
    <w:uiPriority w:val="99"/>
    <w:rsid w:val="0073613F"/>
    <w:rPr>
      <w:rFonts w:ascii="Courier New" w:hAnsi="Courier New" w:cs="Courier New"/>
      <w:i/>
      <w:iCs/>
      <w:sz w:val="20"/>
      <w:szCs w:val="20"/>
    </w:rPr>
  </w:style>
  <w:style w:type="paragraph" w:customStyle="1" w:styleId="Style24">
    <w:name w:val="Style2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2">
    <w:name w:val="Font Style92"/>
    <w:basedOn w:val="a1"/>
    <w:uiPriority w:val="99"/>
    <w:rsid w:val="0073613F"/>
    <w:rPr>
      <w:rFonts w:ascii="Franklin Gothic Medium Cond" w:hAnsi="Franklin Gothic Medium Cond" w:cs="Franklin Gothic Medium Cond"/>
      <w:sz w:val="18"/>
      <w:szCs w:val="18"/>
    </w:rPr>
  </w:style>
  <w:style w:type="character" w:customStyle="1" w:styleId="FontStyle111">
    <w:name w:val="Font Style111"/>
    <w:basedOn w:val="a1"/>
    <w:uiPriority w:val="99"/>
    <w:rsid w:val="0073613F"/>
    <w:rPr>
      <w:rFonts w:ascii="Courier New" w:hAnsi="Courier New" w:cs="Courier New"/>
      <w:b/>
      <w:bCs/>
      <w:sz w:val="16"/>
      <w:szCs w:val="16"/>
    </w:rPr>
  </w:style>
  <w:style w:type="paragraph" w:customStyle="1" w:styleId="Style21">
    <w:name w:val="Style2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74">
    <w:name w:val="Style7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0">
    <w:name w:val="Style6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4">
    <w:name w:val="Font Style94"/>
    <w:basedOn w:val="a1"/>
    <w:uiPriority w:val="99"/>
    <w:rsid w:val="0073613F"/>
    <w:rPr>
      <w:rFonts w:ascii="Courier New" w:hAnsi="Courier New" w:cs="Courier New"/>
      <w:i/>
      <w:iCs/>
      <w:sz w:val="18"/>
      <w:szCs w:val="18"/>
    </w:rPr>
  </w:style>
  <w:style w:type="character" w:customStyle="1" w:styleId="FontStyle95">
    <w:name w:val="Font Style95"/>
    <w:basedOn w:val="a1"/>
    <w:uiPriority w:val="99"/>
    <w:rsid w:val="0073613F"/>
    <w:rPr>
      <w:rFonts w:ascii="Candara" w:hAnsi="Candara" w:cs="Candara"/>
      <w:i/>
      <w:iCs/>
      <w:spacing w:val="30"/>
      <w:sz w:val="18"/>
      <w:szCs w:val="18"/>
    </w:rPr>
  </w:style>
  <w:style w:type="paragraph" w:customStyle="1" w:styleId="Style42">
    <w:name w:val="Style4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8">
    <w:name w:val="Font Style98"/>
    <w:basedOn w:val="a1"/>
    <w:uiPriority w:val="99"/>
    <w:rsid w:val="0073613F"/>
    <w:rPr>
      <w:rFonts w:ascii="Courier New" w:hAnsi="Courier New" w:cs="Courier New"/>
      <w:b/>
      <w:bCs/>
      <w:i/>
      <w:iCs/>
      <w:sz w:val="20"/>
      <w:szCs w:val="20"/>
    </w:rPr>
  </w:style>
  <w:style w:type="paragraph" w:customStyle="1" w:styleId="Style34">
    <w:name w:val="Style3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9">
    <w:name w:val="Font Style99"/>
    <w:basedOn w:val="a1"/>
    <w:uiPriority w:val="99"/>
    <w:rsid w:val="0073613F"/>
    <w:rPr>
      <w:rFonts w:ascii="Book Antiqua" w:hAnsi="Book Antiqua" w:cs="Book Antiqua"/>
      <w:b/>
      <w:bCs/>
      <w:smallCaps/>
      <w:sz w:val="16"/>
      <w:szCs w:val="16"/>
    </w:rPr>
  </w:style>
  <w:style w:type="paragraph" w:customStyle="1" w:styleId="Style33">
    <w:name w:val="Style3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7">
    <w:name w:val="Font Style97"/>
    <w:basedOn w:val="a1"/>
    <w:uiPriority w:val="99"/>
    <w:rsid w:val="0073613F"/>
    <w:rPr>
      <w:rFonts w:ascii="Courier New" w:hAnsi="Courier New" w:cs="Courier New"/>
      <w:b/>
      <w:bCs/>
      <w:sz w:val="20"/>
      <w:szCs w:val="20"/>
    </w:rPr>
  </w:style>
  <w:style w:type="paragraph" w:customStyle="1" w:styleId="Style50">
    <w:name w:val="Style5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96">
    <w:name w:val="Font Style96"/>
    <w:basedOn w:val="a1"/>
    <w:uiPriority w:val="99"/>
    <w:rsid w:val="0073613F"/>
    <w:rPr>
      <w:rFonts w:ascii="Century Schoolbook" w:hAnsi="Century Schoolbook" w:cs="Century Schoolbook"/>
      <w:b/>
      <w:bCs/>
      <w:i/>
      <w:iCs/>
      <w:sz w:val="26"/>
      <w:szCs w:val="26"/>
    </w:rPr>
  </w:style>
  <w:style w:type="paragraph" w:customStyle="1" w:styleId="Style26">
    <w:name w:val="Style26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0">
    <w:name w:val="Font Style100"/>
    <w:basedOn w:val="a1"/>
    <w:uiPriority w:val="99"/>
    <w:rsid w:val="0073613F"/>
    <w:rPr>
      <w:rFonts w:ascii="Courier New" w:hAnsi="Courier New" w:cs="Courier New"/>
      <w:b/>
      <w:bCs/>
      <w:i/>
      <w:iCs/>
      <w:spacing w:val="10"/>
      <w:sz w:val="18"/>
      <w:szCs w:val="18"/>
    </w:rPr>
  </w:style>
  <w:style w:type="paragraph" w:customStyle="1" w:styleId="Style43">
    <w:name w:val="Style4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2">
    <w:name w:val="Font Style102"/>
    <w:basedOn w:val="a1"/>
    <w:uiPriority w:val="99"/>
    <w:rsid w:val="0073613F"/>
    <w:rPr>
      <w:rFonts w:ascii="Franklin Gothic Medium" w:hAnsi="Franklin Gothic Medium" w:cs="Franklin Gothic Medium"/>
      <w:b/>
      <w:bCs/>
      <w:sz w:val="16"/>
      <w:szCs w:val="16"/>
    </w:rPr>
  </w:style>
  <w:style w:type="paragraph" w:customStyle="1" w:styleId="Style39">
    <w:name w:val="Style39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3">
    <w:name w:val="Style63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5">
    <w:name w:val="Font Style105"/>
    <w:basedOn w:val="a1"/>
    <w:uiPriority w:val="99"/>
    <w:rsid w:val="0073613F"/>
    <w:rPr>
      <w:rFonts w:ascii="Courier New" w:hAnsi="Courier New" w:cs="Courier New"/>
      <w:b/>
      <w:bCs/>
      <w:spacing w:val="-20"/>
      <w:sz w:val="20"/>
      <w:szCs w:val="20"/>
    </w:rPr>
  </w:style>
  <w:style w:type="paragraph" w:customStyle="1" w:styleId="Style30">
    <w:name w:val="Style3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61">
    <w:name w:val="Style6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8">
    <w:name w:val="Style58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6">
    <w:name w:val="Font Style106"/>
    <w:basedOn w:val="a1"/>
    <w:uiPriority w:val="99"/>
    <w:rsid w:val="0073613F"/>
    <w:rPr>
      <w:rFonts w:ascii="Tahoma" w:hAnsi="Tahoma" w:cs="Tahoma"/>
      <w:i/>
      <w:iCs/>
      <w:spacing w:val="20"/>
      <w:sz w:val="14"/>
      <w:szCs w:val="14"/>
    </w:rPr>
  </w:style>
  <w:style w:type="character" w:customStyle="1" w:styleId="FontStyle107">
    <w:name w:val="Font Style107"/>
    <w:basedOn w:val="a1"/>
    <w:uiPriority w:val="99"/>
    <w:rsid w:val="0073613F"/>
    <w:rPr>
      <w:rFonts w:ascii="Courier New" w:hAnsi="Courier New" w:cs="Courier New"/>
      <w:b/>
      <w:bCs/>
      <w:spacing w:val="-10"/>
      <w:sz w:val="22"/>
      <w:szCs w:val="22"/>
    </w:rPr>
  </w:style>
  <w:style w:type="paragraph" w:customStyle="1" w:styleId="Style40">
    <w:name w:val="Style40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09">
    <w:name w:val="Font Style109"/>
    <w:basedOn w:val="a1"/>
    <w:uiPriority w:val="99"/>
    <w:rsid w:val="0073613F"/>
    <w:rPr>
      <w:rFonts w:ascii="Franklin Gothic Medium Cond" w:hAnsi="Franklin Gothic Medium Cond" w:cs="Franklin Gothic Medium Cond"/>
      <w:b/>
      <w:bCs/>
      <w:sz w:val="36"/>
      <w:szCs w:val="36"/>
    </w:rPr>
  </w:style>
  <w:style w:type="paragraph" w:customStyle="1" w:styleId="Style25">
    <w:name w:val="Style25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2">
    <w:name w:val="Style52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10">
    <w:name w:val="Font Style110"/>
    <w:basedOn w:val="a1"/>
    <w:uiPriority w:val="99"/>
    <w:rsid w:val="0073613F"/>
    <w:rPr>
      <w:rFonts w:ascii="Candara" w:hAnsi="Candara" w:cs="Candara"/>
      <w:sz w:val="28"/>
      <w:szCs w:val="28"/>
    </w:rPr>
  </w:style>
  <w:style w:type="paragraph" w:customStyle="1" w:styleId="Style51">
    <w:name w:val="Style51"/>
    <w:basedOn w:val="a0"/>
    <w:uiPriority w:val="99"/>
    <w:rsid w:val="007361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268">
    <w:name w:val="Font Style268"/>
    <w:uiPriority w:val="99"/>
    <w:rsid w:val="0073613F"/>
    <w:rPr>
      <w:rFonts w:ascii="Times New Roman" w:hAnsi="Times New Roman" w:cs="Times New Roman"/>
      <w:sz w:val="18"/>
      <w:szCs w:val="18"/>
    </w:rPr>
  </w:style>
  <w:style w:type="character" w:customStyle="1" w:styleId="FontStyle274">
    <w:name w:val="Font Style274"/>
    <w:uiPriority w:val="99"/>
    <w:rsid w:val="007361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91">
    <w:name w:val="Font Style391"/>
    <w:basedOn w:val="a1"/>
    <w:uiPriority w:val="99"/>
    <w:rsid w:val="0073613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3">
    <w:name w:val="Font Style393"/>
    <w:basedOn w:val="a1"/>
    <w:uiPriority w:val="99"/>
    <w:rsid w:val="0073613F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0"/>
    <w:link w:val="af"/>
    <w:rsid w:val="007361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7361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semiHidden/>
    <w:unhideWhenUsed/>
    <w:rsid w:val="0073613F"/>
    <w:pPr>
      <w:spacing w:after="120" w:line="480" w:lineRule="auto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1"/>
    <w:link w:val="21"/>
    <w:semiHidden/>
    <w:rsid w:val="0073613F"/>
    <w:rPr>
      <w:rFonts w:eastAsiaTheme="minorEastAsia"/>
      <w:lang w:eastAsia="ru-RU"/>
    </w:rPr>
  </w:style>
  <w:style w:type="character" w:customStyle="1" w:styleId="17">
    <w:name w:val="Знак Знак17"/>
    <w:basedOn w:val="a1"/>
    <w:rsid w:val="0073613F"/>
    <w:rPr>
      <w:rFonts w:ascii="Times New Roman" w:eastAsia="Times New Roman" w:hAnsi="Times New Roman" w:cs="Times New Roman"/>
      <w:sz w:val="36"/>
      <w:szCs w:val="20"/>
    </w:rPr>
  </w:style>
  <w:style w:type="character" w:customStyle="1" w:styleId="18">
    <w:name w:val="Знак Знак18"/>
    <w:basedOn w:val="a1"/>
    <w:rsid w:val="0073613F"/>
    <w:rPr>
      <w:rFonts w:ascii="Times New Roman" w:eastAsia="Times New Roman" w:hAnsi="Times New Roman" w:cs="Times New Roman"/>
      <w:sz w:val="28"/>
      <w:szCs w:val="24"/>
    </w:rPr>
  </w:style>
  <w:style w:type="character" w:customStyle="1" w:styleId="16">
    <w:name w:val="Знак Знак16"/>
    <w:basedOn w:val="a1"/>
    <w:rsid w:val="0073613F"/>
    <w:rPr>
      <w:rFonts w:ascii="Times New Roman" w:eastAsia="Times New Roman" w:hAnsi="Times New Roman" w:cs="Times New Roman"/>
      <w:b/>
      <w:bCs/>
      <w:sz w:val="28"/>
      <w:szCs w:val="20"/>
      <w:shd w:val="clear" w:color="auto" w:fill="FFFFFF"/>
    </w:rPr>
  </w:style>
  <w:style w:type="character" w:customStyle="1" w:styleId="15">
    <w:name w:val="Знак Знак15"/>
    <w:basedOn w:val="a1"/>
    <w:rsid w:val="0073613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14">
    <w:name w:val="Знак Знак14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30">
    <w:name w:val="Знак Знак13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20">
    <w:name w:val="Знак Знак12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11">
    <w:name w:val="Знак Знак11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100">
    <w:name w:val="Знак Знак10"/>
    <w:basedOn w:val="a1"/>
    <w:rsid w:val="0073613F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Body Text Indent"/>
    <w:basedOn w:val="a0"/>
    <w:link w:val="af1"/>
    <w:semiHidden/>
    <w:rsid w:val="0073613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1">
    <w:name w:val="Знак Знак9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Indent 2"/>
    <w:basedOn w:val="a0"/>
    <w:link w:val="24"/>
    <w:semiHidden/>
    <w:rsid w:val="0073613F"/>
    <w:pPr>
      <w:spacing w:after="0" w:line="36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1">
    <w:name w:val="Знак Знак8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0"/>
    <w:link w:val="32"/>
    <w:semiHidden/>
    <w:rsid w:val="0073613F"/>
    <w:pPr>
      <w:tabs>
        <w:tab w:val="left" w:pos="709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1">
    <w:name w:val="Знак Знак7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61">
    <w:name w:val="Знак Знак6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page number"/>
    <w:basedOn w:val="a1"/>
    <w:semiHidden/>
    <w:rsid w:val="0073613F"/>
  </w:style>
  <w:style w:type="character" w:customStyle="1" w:styleId="51">
    <w:name w:val="Знак Знак5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character" w:customStyle="1" w:styleId="41">
    <w:name w:val="Знак Знак4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af3">
    <w:name w:val="Subtitle"/>
    <w:basedOn w:val="a0"/>
    <w:link w:val="af4"/>
    <w:qFormat/>
    <w:rsid w:val="0073613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Подзаголовок Знак"/>
    <w:basedOn w:val="a1"/>
    <w:link w:val="af3"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3">
    <w:name w:val="Знак Знак3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Знак Знак2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Обычный1"/>
    <w:rsid w:val="0073613F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1a">
    <w:name w:val="Знак Знак1"/>
    <w:basedOn w:val="a1"/>
    <w:rsid w:val="0073613F"/>
    <w:rPr>
      <w:rFonts w:ascii="Times New Roman" w:eastAsia="Times New Roman" w:hAnsi="Times New Roman" w:cs="Times New Roman"/>
      <w:sz w:val="20"/>
      <w:szCs w:val="20"/>
    </w:rPr>
  </w:style>
  <w:style w:type="paragraph" w:styleId="34">
    <w:name w:val="Body Text 3"/>
    <w:basedOn w:val="a0"/>
    <w:link w:val="35"/>
    <w:semiHidden/>
    <w:rsid w:val="0073613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5">
    <w:name w:val="Основной текст 3 Знак"/>
    <w:basedOn w:val="a1"/>
    <w:link w:val="34"/>
    <w:semiHidden/>
    <w:rsid w:val="0073613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Знак Знак"/>
    <w:basedOn w:val="a1"/>
    <w:rsid w:val="0073613F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caption"/>
    <w:basedOn w:val="a0"/>
    <w:next w:val="a0"/>
    <w:qFormat/>
    <w:rsid w:val="0073613F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2">
    <w:name w:val="FR2"/>
    <w:rsid w:val="0073613F"/>
    <w:pPr>
      <w:spacing w:before="100" w:after="0" w:line="300" w:lineRule="auto"/>
      <w:ind w:left="2080" w:right="2200"/>
      <w:jc w:val="center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FR1">
    <w:name w:val="FR1"/>
    <w:rsid w:val="0073613F"/>
    <w:pPr>
      <w:spacing w:before="160"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7">
    <w:name w:val="Block Text"/>
    <w:basedOn w:val="a0"/>
    <w:semiHidden/>
    <w:rsid w:val="0073613F"/>
    <w:pPr>
      <w:spacing w:after="0" w:line="240" w:lineRule="auto"/>
      <w:ind w:left="-57" w:right="-5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b">
    <w:name w:val="заголовок 1"/>
    <w:basedOn w:val="a0"/>
    <w:next w:val="a0"/>
    <w:rsid w:val="0073613F"/>
    <w:pPr>
      <w:keepNext/>
      <w:widowControl w:val="0"/>
      <w:autoSpaceDE w:val="0"/>
      <w:autoSpaceDN w:val="0"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заголовок 2"/>
    <w:basedOn w:val="a0"/>
    <w:next w:val="a0"/>
    <w:rsid w:val="0073613F"/>
    <w:pPr>
      <w:keepNext/>
      <w:widowControl w:val="0"/>
      <w:autoSpaceDE w:val="0"/>
      <w:autoSpaceDN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6">
    <w:name w:val="заголовок 3"/>
    <w:basedOn w:val="a0"/>
    <w:next w:val="a0"/>
    <w:rsid w:val="0073613F"/>
    <w:pPr>
      <w:keepNext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8">
    <w:name w:val="Основной шрифт"/>
    <w:rsid w:val="0073613F"/>
  </w:style>
  <w:style w:type="paragraph" w:customStyle="1" w:styleId="BodyText21">
    <w:name w:val="Body Text 21"/>
    <w:basedOn w:val="a0"/>
    <w:rsid w:val="007361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f9">
    <w:name w:val="номер страницы"/>
    <w:basedOn w:val="af8"/>
    <w:rsid w:val="0073613F"/>
  </w:style>
  <w:style w:type="character" w:styleId="afa">
    <w:name w:val="Placeholder Text"/>
    <w:basedOn w:val="a1"/>
    <w:uiPriority w:val="99"/>
    <w:semiHidden/>
    <w:rsid w:val="0073613F"/>
    <w:rPr>
      <w:color w:val="808080"/>
    </w:rPr>
  </w:style>
  <w:style w:type="table" w:customStyle="1" w:styleId="112">
    <w:name w:val="Сетка таблицы11"/>
    <w:basedOn w:val="a2"/>
    <w:next w:val="a9"/>
    <w:uiPriority w:val="59"/>
    <w:rsid w:val="0073613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3"/>
    <w:uiPriority w:val="99"/>
    <w:semiHidden/>
    <w:unhideWhenUsed/>
    <w:rsid w:val="00CB31D1"/>
  </w:style>
  <w:style w:type="numbering" w:customStyle="1" w:styleId="113">
    <w:name w:val="Стиль11"/>
    <w:rsid w:val="00CB31D1"/>
  </w:style>
  <w:style w:type="numbering" w:customStyle="1" w:styleId="121">
    <w:name w:val="Нет списка12"/>
    <w:next w:val="a3"/>
    <w:uiPriority w:val="99"/>
    <w:semiHidden/>
    <w:unhideWhenUsed/>
    <w:rsid w:val="00CB31D1"/>
  </w:style>
  <w:style w:type="table" w:customStyle="1" w:styleId="28">
    <w:name w:val="Сетка таблицы2"/>
    <w:basedOn w:val="a2"/>
    <w:next w:val="a9"/>
    <w:uiPriority w:val="59"/>
    <w:rsid w:val="00CB31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9"/>
    <w:uiPriority w:val="59"/>
    <w:rsid w:val="00CB31D1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9"/>
    <w:uiPriority w:val="59"/>
    <w:rsid w:val="00CB31D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7257</Words>
  <Characters>41369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48529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2015-06-18T11:32:00Z</dcterms:created>
  <dcterms:modified xsi:type="dcterms:W3CDTF">2015-08-17T09:32:00Z</dcterms:modified>
</cp:coreProperties>
</file>